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DF" w:rsidRDefault="00AA4460">
      <w:pPr>
        <w:jc w:val="center"/>
        <w:rPr>
          <w:rFonts w:ascii="Calibri" w:eastAsia="Calibri" w:hAnsi="Calibri" w:cs="Calibri"/>
          <w:b/>
          <w:sz w:val="36"/>
          <w:szCs w:val="36"/>
        </w:rPr>
      </w:pPr>
      <w:r>
        <w:rPr>
          <w:rFonts w:ascii="Calibri" w:eastAsia="Calibri" w:hAnsi="Calibri" w:cs="Calibri"/>
          <w:b/>
          <w:sz w:val="36"/>
          <w:szCs w:val="36"/>
        </w:rPr>
        <w:t xml:space="preserve"> Proposition de programmation – Classe de Première spécialité SVT (</w:t>
      </w:r>
      <w:proofErr w:type="spellStart"/>
      <w:r>
        <w:rPr>
          <w:rFonts w:ascii="Calibri" w:eastAsia="Calibri" w:hAnsi="Calibri" w:cs="Calibri"/>
          <w:b/>
          <w:sz w:val="36"/>
          <w:szCs w:val="36"/>
        </w:rPr>
        <w:t>nov</w:t>
      </w:r>
      <w:proofErr w:type="spellEnd"/>
      <w:r>
        <w:rPr>
          <w:rFonts w:ascii="Calibri" w:eastAsia="Calibri" w:hAnsi="Calibri" w:cs="Calibri"/>
          <w:b/>
          <w:sz w:val="36"/>
          <w:szCs w:val="36"/>
        </w:rPr>
        <w:t xml:space="preserve"> 2018)</w:t>
      </w:r>
    </w:p>
    <w:p w:rsidR="00FC31DF" w:rsidRDefault="00AA4460">
      <w:pPr>
        <w:rPr>
          <w:rFonts w:ascii="Calibri" w:eastAsia="Calibri" w:hAnsi="Calibri" w:cs="Calibri"/>
          <w:b/>
          <w:color w:val="007E9F"/>
          <w:sz w:val="36"/>
          <w:szCs w:val="36"/>
        </w:rPr>
      </w:pPr>
      <w:r>
        <w:rPr>
          <w:rFonts w:ascii="Calibri" w:eastAsia="Calibri" w:hAnsi="Calibri" w:cs="Calibri"/>
          <w:b/>
          <w:color w:val="007E9F"/>
          <w:sz w:val="36"/>
          <w:szCs w:val="36"/>
        </w:rPr>
        <w:t>La Terre, la vie et l’organisation du vivant</w:t>
      </w:r>
    </w:p>
    <w:p w:rsidR="00FC31DF" w:rsidRDefault="00AA4460">
      <w:pPr>
        <w:rPr>
          <w:rFonts w:ascii="Calibri" w:eastAsia="Calibri" w:hAnsi="Calibri" w:cs="Calibri"/>
          <w:b/>
          <w:sz w:val="28"/>
          <w:szCs w:val="28"/>
        </w:rPr>
      </w:pPr>
      <w:r>
        <w:rPr>
          <w:rFonts w:ascii="Calibri" w:eastAsia="Calibri" w:hAnsi="Calibri" w:cs="Calibri"/>
          <w:b/>
          <w:sz w:val="28"/>
          <w:szCs w:val="28"/>
        </w:rPr>
        <w:t>Transmission, variation et expression du patrimoine génétique</w:t>
      </w:r>
      <w:r>
        <w:rPr>
          <w:b/>
          <w:sz w:val="28"/>
          <w:szCs w:val="28"/>
        </w:rPr>
        <w:t xml:space="preserve"> </w:t>
      </w:r>
      <w:r>
        <w:rPr>
          <w:rFonts w:ascii="Calibri" w:eastAsia="Calibri" w:hAnsi="Calibri" w:cs="Calibri"/>
          <w:b/>
          <w:sz w:val="28"/>
          <w:szCs w:val="28"/>
        </w:rPr>
        <w:t>(11 semaines)</w:t>
      </w:r>
    </w:p>
    <w:tbl>
      <w:tblPr>
        <w:tblStyle w:val="a"/>
        <w:tblW w:w="158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3570"/>
        <w:gridCol w:w="3969"/>
        <w:gridCol w:w="5188"/>
        <w:gridCol w:w="766"/>
      </w:tblGrid>
      <w:tr w:rsidR="00FC31DF">
        <w:tc>
          <w:tcPr>
            <w:tcW w:w="2350" w:type="dxa"/>
          </w:tcPr>
          <w:p w:rsidR="00FC31DF" w:rsidRDefault="00FC31DF">
            <w:pPr>
              <w:rPr>
                <w:rFonts w:ascii="Calibri" w:eastAsia="Calibri" w:hAnsi="Calibri" w:cs="Calibri"/>
                <w:b/>
                <w:color w:val="007E9F"/>
                <w:sz w:val="20"/>
                <w:szCs w:val="20"/>
              </w:rPr>
            </w:pPr>
          </w:p>
        </w:tc>
        <w:tc>
          <w:tcPr>
            <w:tcW w:w="3570"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3969"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5188"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Les divisions cellulaires des eucaryotes </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Chez les organismes unicellulaires, toutes les fonctions sont assurées par une seule cellule. Chez les organismes pluricellulaires, les organes sont constitués de cellules spécialisées formant des tissus, et assurant des fonctions particulières. </w:t>
            </w:r>
          </w:p>
          <w:p w:rsidR="00FC31DF" w:rsidRDefault="00AA4460">
            <w:pPr>
              <w:rPr>
                <w:rFonts w:ascii="Calibri" w:eastAsia="Calibri" w:hAnsi="Calibri" w:cs="Calibri"/>
                <w:b/>
                <w:sz w:val="20"/>
                <w:szCs w:val="20"/>
              </w:rPr>
            </w:pPr>
            <w:r>
              <w:rPr>
                <w:rFonts w:ascii="Calibri" w:eastAsia="Calibri" w:hAnsi="Calibri" w:cs="Calibri"/>
                <w:sz w:val="20"/>
                <w:szCs w:val="20"/>
              </w:rPr>
              <w:t>Toutes les cellules d’un organisme sont issues d’une cellule unique à l’origine de cet organisme. Elles possèdent toutes initialement la même information génétique organisée en gènes constitués d’ADN (acide désoxyribonucléique). Cependant, les cellules spécialisées n’expriment qu’une partie de l’ADN.</w:t>
            </w:r>
          </w:p>
        </w:tc>
        <w:tc>
          <w:tcPr>
            <w:tcW w:w="3969" w:type="dxa"/>
          </w:tcPr>
          <w:p w:rsidR="00FC31DF" w:rsidRDefault="00AA4460">
            <w:pPr>
              <w:rPr>
                <w:rFonts w:ascii="Calibri" w:eastAsia="Calibri" w:hAnsi="Calibri" w:cs="Calibri"/>
                <w:i/>
                <w:sz w:val="20"/>
                <w:szCs w:val="20"/>
              </w:rPr>
            </w:pPr>
            <w:r>
              <w:rPr>
                <w:rFonts w:ascii="Calibri" w:eastAsia="Calibri" w:hAnsi="Calibri" w:cs="Calibri"/>
                <w:i/>
                <w:sz w:val="20"/>
                <w:szCs w:val="20"/>
              </w:rPr>
              <w:t xml:space="preserve">Diploïde, haploïde, méiose, phases du cycle cellulaire eucaryote : G1, S (synthèse d'ADN), G2, mitose (division cellulaire), fuseau mitotique ou méiotique. </w:t>
            </w:r>
          </w:p>
          <w:p w:rsidR="00FC31DF" w:rsidRDefault="00FC31DF">
            <w:pPr>
              <w:rPr>
                <w:rFonts w:ascii="Calibri" w:eastAsia="Calibri" w:hAnsi="Calibri" w:cs="Calibri"/>
                <w:i/>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 xml:space="preserve">Le fuseau mitotique est évoqué mais une étude exhaustive n’est pas attendue. L’étude exhaustive des anomalies </w:t>
            </w:r>
            <w:proofErr w:type="spellStart"/>
            <w:r>
              <w:rPr>
                <w:rFonts w:ascii="Calibri" w:eastAsia="Calibri" w:hAnsi="Calibri" w:cs="Calibri"/>
                <w:i/>
                <w:color w:val="366091"/>
                <w:sz w:val="20"/>
                <w:szCs w:val="20"/>
              </w:rPr>
              <w:t>caryotypiques</w:t>
            </w:r>
            <w:proofErr w:type="spellEnd"/>
            <w:r>
              <w:rPr>
                <w:rFonts w:ascii="Calibri" w:eastAsia="Calibri" w:hAnsi="Calibri" w:cs="Calibri"/>
                <w:i/>
                <w:color w:val="366091"/>
                <w:sz w:val="20"/>
                <w:szCs w:val="20"/>
              </w:rPr>
              <w:t xml:space="preserve"> (aneuploïdies) n’est pas attendue. Les brassages génétiques inter et intra chromosomique sont étudiés en classe terminale. </w:t>
            </w:r>
            <w:bookmarkStart w:id="0" w:name="_GoBack"/>
            <w:bookmarkEnd w:id="0"/>
          </w:p>
        </w:tc>
        <w:tc>
          <w:tcPr>
            <w:tcW w:w="5188"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 Réaliser et observer des préparations au microscope de cellules eucaryotes en cours de division, colorées de manière à faire apparaître les chromosomes.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À partir d’images, réaliser des caryotypes à l’aide d’un logiciel et les analyser.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permettant de caractériser les phases d'un cycle cellulaire eucaryote. </w:t>
            </w:r>
          </w:p>
          <w:p w:rsidR="00FC31DF" w:rsidRDefault="00FC31DF">
            <w:pPr>
              <w:rPr>
                <w:rFonts w:ascii="Calibri" w:eastAsia="Calibri" w:hAnsi="Calibri" w:cs="Calibri"/>
                <w:sz w:val="20"/>
                <w:szCs w:val="20"/>
              </w:rPr>
            </w:pPr>
          </w:p>
        </w:tc>
        <w:tc>
          <w:tcPr>
            <w:tcW w:w="766" w:type="dxa"/>
          </w:tcPr>
          <w:p w:rsidR="00FC31DF" w:rsidRDefault="00AA4460">
            <w:pPr>
              <w:rPr>
                <w:rFonts w:ascii="Calibri" w:eastAsia="Calibri" w:hAnsi="Calibri" w:cs="Calibri"/>
                <w:b/>
                <w:sz w:val="20"/>
                <w:szCs w:val="20"/>
              </w:rPr>
            </w:pPr>
            <w:proofErr w:type="gramStart"/>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roofErr w:type="gram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La réplication de l'ADN </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Chaque chromatide est </w:t>
            </w:r>
            <w:proofErr w:type="gramStart"/>
            <w:r>
              <w:rPr>
                <w:rFonts w:ascii="Calibri" w:eastAsia="Calibri" w:hAnsi="Calibri" w:cs="Calibri"/>
                <w:color w:val="000000"/>
                <w:sz w:val="20"/>
                <w:szCs w:val="20"/>
              </w:rPr>
              <w:t>constituée</w:t>
            </w:r>
            <w:proofErr w:type="gramEnd"/>
            <w:r>
              <w:rPr>
                <w:rFonts w:ascii="Calibri" w:eastAsia="Calibri" w:hAnsi="Calibri" w:cs="Calibri"/>
                <w:color w:val="000000"/>
                <w:sz w:val="20"/>
                <w:szCs w:val="20"/>
              </w:rPr>
              <w:t xml:space="preserve"> d'une longue molécule d'ADN associée à des protéines structurantes. </w:t>
            </w:r>
          </w:p>
          <w:p w:rsidR="00FC31DF" w:rsidRDefault="00AA4460">
            <w:pPr>
              <w:rPr>
                <w:rFonts w:ascii="Calibri" w:eastAsia="Calibri" w:hAnsi="Calibri" w:cs="Calibri"/>
                <w:b/>
                <w:sz w:val="20"/>
                <w:szCs w:val="20"/>
              </w:rPr>
            </w:pPr>
            <w:r>
              <w:rPr>
                <w:rFonts w:ascii="Calibri" w:eastAsia="Calibri" w:hAnsi="Calibri" w:cs="Calibri"/>
                <w:sz w:val="20"/>
                <w:szCs w:val="20"/>
              </w:rPr>
              <w:t xml:space="preserve">Au cours de la phase S, l’ADN subit la réplication semi-conservative. Il s’agit de la formation de deux copies qui, en observant les règles d’appariement des bases, conservent chacune la séquence des nucléotides de la molécule initiale. Ainsi, les deux cellules provenant par mitose d'une cellule initiale possèdent exactement la même information génétique. La succession de mitoses produit un ensemble de cellules, toutes génétiquement identiques que l’on appelle un clone. </w:t>
            </w:r>
          </w:p>
        </w:tc>
        <w:tc>
          <w:tcPr>
            <w:tcW w:w="3969" w:type="dxa"/>
          </w:tcPr>
          <w:p w:rsidR="00FC31DF" w:rsidRDefault="00AA4460">
            <w:pPr>
              <w:rPr>
                <w:rFonts w:ascii="Calibri" w:eastAsia="Calibri" w:hAnsi="Calibri" w:cs="Calibri"/>
                <w:i/>
                <w:sz w:val="20"/>
                <w:szCs w:val="20"/>
              </w:rPr>
            </w:pPr>
            <w:r>
              <w:rPr>
                <w:rFonts w:ascii="Calibri" w:eastAsia="Calibri" w:hAnsi="Calibri" w:cs="Calibri"/>
                <w:i/>
                <w:sz w:val="20"/>
                <w:szCs w:val="20"/>
              </w:rPr>
              <w:t xml:space="preserve">Réplication semi conservative, ADN polymérase, clone. </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Savoir comment relier l'échelle cellulaire (mitose, chromosomes) à l'échelle moléculaire (ADN).</w:t>
            </w:r>
          </w:p>
          <w:p w:rsidR="00FC31DF" w:rsidRDefault="00FC31DF">
            <w:pPr>
              <w:rPr>
                <w:rFonts w:ascii="Calibri" w:eastAsia="Calibri" w:hAnsi="Calibri" w:cs="Calibri"/>
                <w:i/>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Les points suivants sont hors programme : machinerie enzymatique de synthèse des nucléotides et de réplication semi-conservative. Le détail des constituants des chromatides autre que l'ADN n’est pas attendu.</w:t>
            </w:r>
          </w:p>
        </w:tc>
        <w:tc>
          <w:tcPr>
            <w:tcW w:w="5188"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Présenter une démarche historique sur l’identification ou la composition chimique des chromosomes.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Calculer la longueur totale d’une molécule d’ADN dans un chromosome et de l’ensemble de l’ADN d’une cellule humaine ; comparer avec le diamètre d’une cellule. Calculer la longueur d’ADN de l’ensemble des cellules humaines.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Exploiter les informations d’une expérience historique ayant permis de montrer que la réplication est un mécanisme semi-conservatif.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des logiciels ou analyser des documents permettant de comprendre le mécanisme de réplication semi conservative.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Observer des images montrant des molécules d'ADN en cours de réplication.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Calculer la vitesse et la durée de réplication chez une </w:t>
            </w:r>
            <w:r>
              <w:rPr>
                <w:rFonts w:ascii="Calibri" w:eastAsia="Calibri" w:hAnsi="Calibri" w:cs="Calibri"/>
                <w:color w:val="000000"/>
                <w:sz w:val="20"/>
                <w:szCs w:val="20"/>
              </w:rPr>
              <w:lastRenderedPageBreak/>
              <w:t xml:space="preserve">bactérie (E. coli) et chez un eucaryote.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et/ou réaliser une réaction de PCR (amplification en chaîne par polymérase) en déterminant la durée de chaque étape du cycle de PCR. Calculer le nombre de copies obtenues après chaque cycle. </w:t>
            </w:r>
          </w:p>
          <w:p w:rsidR="00FC31DF" w:rsidRDefault="00FC31DF">
            <w:pPr>
              <w:rPr>
                <w:rFonts w:ascii="Calibri" w:eastAsia="Calibri" w:hAnsi="Calibri" w:cs="Calibri"/>
                <w:i/>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2 à 3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Mutations de l’ADN et variabilité génétique</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Des erreurs peuvent se produire aléatoirement lors de la réplication de l'ADN. Leur fréquence est augmentée par l’action d’agents mutagènes. L’ADN peut également être endommagé en dehors de sa réplication.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mutations sont à l’origine de la diversité des allèles au cours du temps. Selon leur nature elles ont des effets variés sur le phénotype.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erreurs réplicatives et les altérations de l’ADN peuvent être réparées par des mécanismes spécialisés impliquant des enzymes. Si les réparations ne sont pas conformes, la mutation persiste à l’issue de la réplication et est transmise au moment de la division cellulaire.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Chez les animaux dont l’être humain, une mutation survient soit dans une cellule somatique (elle sera présente dans le clone issu de cette cellule) soit dans une cellule germinale (elle devient potentiellement héréditaire).</w:t>
            </w:r>
          </w:p>
        </w:tc>
        <w:tc>
          <w:tcPr>
            <w:tcW w:w="3969" w:type="dxa"/>
          </w:tcPr>
          <w:p w:rsidR="00FC31DF" w:rsidRDefault="00AA4460">
            <w:pPr>
              <w:rPr>
                <w:rFonts w:ascii="Calibri" w:eastAsia="Calibri" w:hAnsi="Calibri" w:cs="Calibri"/>
                <w:i/>
                <w:sz w:val="20"/>
                <w:szCs w:val="20"/>
              </w:rPr>
            </w:pPr>
            <w:r>
              <w:rPr>
                <w:rFonts w:ascii="Calibri" w:eastAsia="Calibri" w:hAnsi="Calibri" w:cs="Calibri"/>
                <w:i/>
                <w:sz w:val="20"/>
                <w:szCs w:val="20"/>
              </w:rPr>
              <w:t>Allèles, mutations, nature et fréquence des mutations, mutations spontanées et induites, systèmes de réparation, ADN polymérase.</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Les élèves acquièrent des connaissances fondamentales sur la formation des mutations. La notion d’allèles s’applique à tout segment d’ADN codant ou non.</w:t>
            </w:r>
          </w:p>
          <w:p w:rsidR="00FC31DF" w:rsidRDefault="00FC31DF">
            <w:pPr>
              <w:rPr>
                <w:rFonts w:ascii="Calibri" w:eastAsia="Calibri" w:hAnsi="Calibri" w:cs="Calibri"/>
                <w:i/>
                <w:color w:val="FF0000"/>
                <w:sz w:val="20"/>
                <w:szCs w:val="20"/>
              </w:rPr>
            </w:pPr>
          </w:p>
          <w:p w:rsidR="00FC31DF" w:rsidRDefault="00AA4460">
            <w:pPr>
              <w:widowControl w:val="0"/>
              <w:pBdr>
                <w:top w:val="nil"/>
                <w:left w:val="nil"/>
                <w:bottom w:val="nil"/>
                <w:right w:val="nil"/>
                <w:between w:val="nil"/>
              </w:pBdr>
              <w:rPr>
                <w:rFonts w:ascii="Calibri" w:eastAsia="Calibri" w:hAnsi="Calibri" w:cs="Calibri"/>
                <w:color w:val="366091"/>
                <w:sz w:val="20"/>
                <w:szCs w:val="20"/>
              </w:rPr>
            </w:pPr>
            <w:r>
              <w:rPr>
                <w:rFonts w:ascii="Calibri" w:eastAsia="Calibri" w:hAnsi="Calibri" w:cs="Calibri"/>
                <w:color w:val="366091"/>
                <w:sz w:val="20"/>
                <w:szCs w:val="20"/>
              </w:rPr>
              <w:t>O</w:t>
            </w:r>
            <w:r>
              <w:rPr>
                <w:rFonts w:ascii="Calibri" w:eastAsia="Calibri" w:hAnsi="Calibri" w:cs="Calibri"/>
                <w:i/>
                <w:color w:val="366091"/>
                <w:sz w:val="20"/>
                <w:szCs w:val="20"/>
              </w:rPr>
              <w:t xml:space="preserve">n distinguera les mutations spontanées de l’ADN des modifications introduites volontairement par génie génétique conduisant par exemple à la création d’OGM, aux thérapies géniques, etc. </w:t>
            </w:r>
          </w:p>
          <w:p w:rsidR="00FC31DF" w:rsidRDefault="00AA4460">
            <w:pPr>
              <w:rPr>
                <w:rFonts w:ascii="Calibri" w:eastAsia="Calibri" w:hAnsi="Calibri" w:cs="Calibri"/>
                <w:i/>
                <w:color w:val="FF0000"/>
                <w:sz w:val="20"/>
                <w:szCs w:val="20"/>
              </w:rPr>
            </w:pPr>
            <w:r>
              <w:rPr>
                <w:rFonts w:ascii="Calibri" w:eastAsia="Calibri" w:hAnsi="Calibri" w:cs="Calibri"/>
                <w:i/>
                <w:color w:val="366091"/>
                <w:sz w:val="20"/>
                <w:szCs w:val="20"/>
              </w:rPr>
              <w:t>L’action des agents mutagènes est étudiée à titre d’exemple mais le mécanisme n’est pas attendu. Aucune exhaustivité n’est attendue pour la présentation de ces agents. La liste des mutations possibles n’est pas attendue. Les mécanismes de réparation de l’ADN ne doivent pas être détaillés. Pour des expériences impliquant des microorganismes, on respecte des protocoles stricts concernant à la fois la culture de microorganismes et leur destruction systématique en fin de manipulation.</w:t>
            </w:r>
          </w:p>
        </w:tc>
        <w:tc>
          <w:tcPr>
            <w:tcW w:w="5188"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Concevoir et réaliser un protocole pour étudier l'action d'un agent mutagène (par exemple les UV) sur la survie des cellules et sur l'apparition de mutants. Quantifier.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et exploiter des informations permettant de montrer l'influence d'agents mutagènes physiques (rayonnements) ou chimiques (molécules).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et exploiter des informations permettant de caractériser des mutations.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et exploiter des informations sur la diversité allélique au sein des populations (par exemple humaine).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et exploiter des informations de recherche sur les génomes des trios (père, mère, enfant) afin de se faire une idée sur la fréquence et la nature des mutations spontanées chez l’être humain.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Exploiter des bases de données pour mettre en relation des mutations et leurs effets. </w:t>
            </w:r>
          </w:p>
          <w:p w:rsidR="00FC31DF" w:rsidRDefault="00FC31DF">
            <w:pPr>
              <w:widowControl w:val="0"/>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L’histoire humaine lue dans son génome</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diversité allélique entre les génomes humains individuels permet de les identifier et, par comparaison, de reconstituer leurs relations de parentés.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Grâce aux techniques modernes, on peut connaître les génomes d’êtres humains disparus à partir de restes fossiles. En les comparant aux génomes actuels, on peut ainsi reconstituer les principales étapes de l’histoire humaine récente.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Certaines variations génétiques résultent d’une sélection actuelle (tolérance au lactose, résistance à la haute altitude) ou passée (résistance à la peste).</w:t>
            </w:r>
          </w:p>
        </w:tc>
        <w:tc>
          <w:tcPr>
            <w:tcW w:w="3969" w:type="dxa"/>
          </w:tcPr>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lastRenderedPageBreak/>
              <w:t>Les élèves apprennent que les génomes portent en eux-mêmes les traces de l’histoire de leurs ancêtres. Ces traces s’altèrent avec le temps mais permettent néanmoins de remonter à un grand nombre de générations.</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Les divers composants d’un génome (gènes, pseudo gènes, éléments mobiles, séquences répétées …) ne sont pas exigibles.</w:t>
            </w:r>
          </w:p>
        </w:tc>
        <w:tc>
          <w:tcPr>
            <w:tcW w:w="5188"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Rechercher et exploiter des documents montrant comment a été déterminée la première séquence du génome humain.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Explorer quelques stratégies et outils informatiques de comparaisons de séquences entre génomes individuels.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Calculer le nombre de générations humaines successives en mille, dix mille et cent mille ans et en déduire le nombre théorique d’ancêtres de chacun d’entre nous à ces dates. Conclure.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Rechercher et exploiter des documents sur les génomes de néandertaliens et/ou de </w:t>
            </w:r>
            <w:proofErr w:type="spellStart"/>
            <w:r>
              <w:rPr>
                <w:rFonts w:ascii="Calibri" w:eastAsia="Calibri" w:hAnsi="Calibri" w:cs="Calibri"/>
                <w:color w:val="000000"/>
                <w:sz w:val="20"/>
                <w:szCs w:val="20"/>
              </w:rPr>
              <w:t>denisoviens</w:t>
            </w:r>
            <w:proofErr w:type="spellEnd"/>
            <w:r>
              <w:rPr>
                <w:rFonts w:ascii="Calibri" w:eastAsia="Calibri" w:hAnsi="Calibri" w:cs="Calibri"/>
                <w:color w:val="000000"/>
                <w:sz w:val="20"/>
                <w:szCs w:val="20"/>
              </w:rPr>
              <w:t xml:space="preserv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Rechercher et exploiter des documents montrant l’existence d’allèles néandertaliens dans les génomes humains actuels.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1 </w:t>
            </w:r>
            <w:proofErr w:type="spellStart"/>
            <w:r>
              <w:rPr>
                <w:rFonts w:ascii="Calibri" w:eastAsia="Calibri" w:hAnsi="Calibri" w:cs="Calibri"/>
                <w:b/>
                <w:sz w:val="20"/>
                <w:szCs w:val="20"/>
              </w:rPr>
              <w:t>sem</w:t>
            </w:r>
            <w:proofErr w:type="spellEnd"/>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L’expression du patrimoine génétique</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séquence de l'ADN, succession des quatre </w:t>
            </w:r>
            <w:proofErr w:type="spellStart"/>
            <w:r>
              <w:rPr>
                <w:rFonts w:ascii="Calibri" w:eastAsia="Calibri" w:hAnsi="Calibri" w:cs="Calibri"/>
                <w:color w:val="000000"/>
                <w:sz w:val="20"/>
                <w:szCs w:val="20"/>
              </w:rPr>
              <w:t>désoxyribonucléotides</w:t>
            </w:r>
            <w:proofErr w:type="spellEnd"/>
            <w:r>
              <w:rPr>
                <w:rFonts w:ascii="Calibri" w:eastAsia="Calibri" w:hAnsi="Calibri" w:cs="Calibri"/>
                <w:color w:val="000000"/>
                <w:sz w:val="20"/>
                <w:szCs w:val="20"/>
              </w:rPr>
              <w:t xml:space="preserve"> le long des brins de la molécule, est une information. Cette information est transmise de générations en générations. À chaque génération, cette information est exprimée par l’intermédiaire d’un autre acide nucléique : l’ARN. Les molécules d'ARN sont synthétisées par complémentarité des nucléotides à partir de l'ADN lors d’un processus dénommé transcription.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Chez les eucaryotes, la transcription a lieu dans le noyau et certains des ARN formés, après maturation éventuelle, sont exportés dans le cytoplasme. D’autres, appelés ARN messagers, dirigent la synthèse de protéines lors d’un processus dénommé traduction.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 code génétique est un système de correspondance, universel à l’ensemble du monde vivant, qui permet la traduction de l’ARN messager en protéines. L'information portée par une molécule d'ARN messager (le message génétique) est ainsi convertie en une information fonctionnelle (la séquence des acides aminés de la protéine).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 phénotype résulte de l’ensemble des produits de l’ADN (protéines et ARN) présents dans la cellule. Il dépend du patrimoine génétique et de son expression. L’activité des gènes de la cellule est régulée sous l’influence de facteurs internes à l’organisme </w:t>
            </w:r>
            <w:r>
              <w:rPr>
                <w:rFonts w:ascii="Calibri" w:eastAsia="Calibri" w:hAnsi="Calibri" w:cs="Calibri"/>
                <w:color w:val="000000"/>
                <w:sz w:val="20"/>
                <w:szCs w:val="20"/>
              </w:rPr>
              <w:lastRenderedPageBreak/>
              <w:t>(développement) et externes (réponses aux conditions de l’environnement).</w:t>
            </w:r>
          </w:p>
        </w:tc>
        <w:tc>
          <w:tcPr>
            <w:tcW w:w="3969" w:type="dxa"/>
          </w:tcPr>
          <w:p w:rsidR="00FC31DF" w:rsidRDefault="00AA4460">
            <w:pPr>
              <w:rPr>
                <w:rFonts w:ascii="Calibri" w:eastAsia="Calibri" w:hAnsi="Calibri" w:cs="Calibri"/>
                <w:i/>
                <w:sz w:val="20"/>
                <w:szCs w:val="20"/>
              </w:rPr>
            </w:pPr>
            <w:r>
              <w:rPr>
                <w:rFonts w:ascii="Calibri" w:eastAsia="Calibri" w:hAnsi="Calibri" w:cs="Calibri"/>
                <w:i/>
                <w:sz w:val="20"/>
                <w:szCs w:val="20"/>
              </w:rPr>
              <w:lastRenderedPageBreak/>
              <w:t>Transcription, traduction, pré-ARNm, ARNm, codon, riboses, génotype, phénotype.</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Les élèves relient un gène à ses produits (ARN et protéines) et comprennent ainsi que l’existence d'une étape intermédiaire (ARN) permet de nombreuses régulations. Ils appréhendent la différence essentielle entre information et code.</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 xml:space="preserve">Les nombreuses catégories d'ARN, les processus de maturation des ARN, et les processus moléculaires de transcription et de traduction (avec les </w:t>
            </w:r>
            <w:proofErr w:type="spellStart"/>
            <w:r>
              <w:rPr>
                <w:rFonts w:ascii="Calibri" w:eastAsia="Calibri" w:hAnsi="Calibri" w:cs="Calibri"/>
                <w:i/>
                <w:color w:val="366091"/>
                <w:sz w:val="20"/>
                <w:szCs w:val="20"/>
              </w:rPr>
              <w:t>ARNt</w:t>
            </w:r>
            <w:proofErr w:type="spellEnd"/>
            <w:r>
              <w:rPr>
                <w:rFonts w:ascii="Calibri" w:eastAsia="Calibri" w:hAnsi="Calibri" w:cs="Calibri"/>
                <w:i/>
                <w:color w:val="366091"/>
                <w:sz w:val="20"/>
                <w:szCs w:val="20"/>
              </w:rPr>
              <w:t xml:space="preserve"> et ARNr) sont hors programme.</w:t>
            </w:r>
          </w:p>
        </w:tc>
        <w:tc>
          <w:tcPr>
            <w:tcW w:w="5188"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Calculer le nombre de combinaisons possibles de séquences de </w:t>
            </w:r>
            <w:r>
              <w:rPr>
                <w:rFonts w:ascii="Calibri" w:eastAsia="Calibri" w:hAnsi="Calibri" w:cs="Calibri"/>
                <w:i/>
                <w:color w:val="000000"/>
                <w:sz w:val="20"/>
                <w:szCs w:val="20"/>
              </w:rPr>
              <w:t xml:space="preserve">n </w:t>
            </w:r>
            <w:r>
              <w:rPr>
                <w:rFonts w:ascii="Calibri" w:eastAsia="Calibri" w:hAnsi="Calibri" w:cs="Calibri"/>
                <w:color w:val="000000"/>
                <w:sz w:val="20"/>
                <w:szCs w:val="20"/>
              </w:rPr>
              <w:t xml:space="preserve">nucléotides de longueur quand </w:t>
            </w:r>
            <w:r>
              <w:rPr>
                <w:rFonts w:ascii="Calibri" w:eastAsia="Calibri" w:hAnsi="Calibri" w:cs="Calibri"/>
                <w:i/>
                <w:color w:val="000000"/>
                <w:sz w:val="20"/>
                <w:szCs w:val="20"/>
              </w:rPr>
              <w:t xml:space="preserve">n </w:t>
            </w:r>
            <w:r>
              <w:rPr>
                <w:rFonts w:ascii="Calibri" w:eastAsia="Calibri" w:hAnsi="Calibri" w:cs="Calibri"/>
                <w:color w:val="000000"/>
                <w:sz w:val="20"/>
                <w:szCs w:val="20"/>
              </w:rPr>
              <w:t xml:space="preserve">grandit. Comparer à un code binaire utilisé en informatique. </w:t>
            </w:r>
          </w:p>
          <w:p w:rsidR="00FC31DF" w:rsidRDefault="00FC31DF">
            <w:pPr>
              <w:widowControl w:val="0"/>
              <w:rPr>
                <w:rFonts w:ascii="Calibri" w:eastAsia="Calibri" w:hAnsi="Calibri" w:cs="Calibri"/>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Calculer le nombre de combinaisons possibles de séquences de </w:t>
            </w:r>
            <w:r>
              <w:rPr>
                <w:rFonts w:ascii="Calibri" w:eastAsia="Calibri" w:hAnsi="Calibri" w:cs="Calibri"/>
                <w:i/>
                <w:color w:val="000000"/>
                <w:sz w:val="20"/>
                <w:szCs w:val="20"/>
              </w:rPr>
              <w:t xml:space="preserve">n </w:t>
            </w:r>
            <w:r>
              <w:rPr>
                <w:rFonts w:ascii="Calibri" w:eastAsia="Calibri" w:hAnsi="Calibri" w:cs="Calibri"/>
                <w:color w:val="000000"/>
                <w:sz w:val="20"/>
                <w:szCs w:val="20"/>
              </w:rPr>
              <w:t xml:space="preserve">acides aminés quand </w:t>
            </w:r>
            <w:r>
              <w:rPr>
                <w:rFonts w:ascii="Calibri" w:eastAsia="Calibri" w:hAnsi="Calibri" w:cs="Calibri"/>
                <w:i/>
                <w:color w:val="000000"/>
                <w:sz w:val="20"/>
                <w:szCs w:val="20"/>
              </w:rPr>
              <w:t xml:space="preserve">n </w:t>
            </w:r>
            <w:r>
              <w:rPr>
                <w:rFonts w:ascii="Calibri" w:eastAsia="Calibri" w:hAnsi="Calibri" w:cs="Calibri"/>
                <w:color w:val="000000"/>
                <w:sz w:val="20"/>
                <w:szCs w:val="20"/>
              </w:rPr>
              <w:t xml:space="preserve">grandit. Comparer au calcul réalisé pour l’ADN.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Mener une démarche historique ou une étude documentaire sur le séquençage des macromolécules (protéines, ARN et ADN).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Mener une démarche historique ou une étude documentaire permettant de comprendre comment les ARN messagers ont été découverts.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Rechercher et exploiter des documents montrant la synthèse et la présence d'ARN dans différents types cellulaires ou dans différentes conditions expérimentales.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les expériences historiques permettant de comprendre comment le code génétique a été élucidé.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un algorithme de traduction d’une séquence d’ARN et éventuellement le programmer dans un langage informatique (par exemple Python).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Rechercher et exploiter des documents montrant la synthèse de protéines hétérologues après transgénèse (illustrant l’universalité du code génétique).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Caractériser à l’aide d’un exemple les différentes échelles d’un phénotype (moléculaire, cellulaire, de l’organisme). </w:t>
            </w:r>
          </w:p>
          <w:p w:rsidR="00FC31DF" w:rsidRDefault="00FC31DF">
            <w:pPr>
              <w:widowControl w:val="0"/>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Les enzymes, des biomolécules aux propriétés catalytiques</w:t>
            </w:r>
          </w:p>
        </w:tc>
        <w:tc>
          <w:tcPr>
            <w:tcW w:w="3570"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protéines enzymatiques sont des catalyseurs de réactions chimiques spécifiques dans le métabolisme d’une cellule.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structure tridimensionnelle de l’enzyme lui permet d’interagir avec ses substrats et explique ses spécificités en termes de substrat et de réaction catalytique.</w:t>
            </w:r>
          </w:p>
        </w:tc>
        <w:tc>
          <w:tcPr>
            <w:tcW w:w="3969" w:type="dxa"/>
          </w:tcPr>
          <w:p w:rsidR="00FC31DF" w:rsidRDefault="00AA4460">
            <w:pPr>
              <w:rPr>
                <w:rFonts w:ascii="Calibri" w:eastAsia="Calibri" w:hAnsi="Calibri" w:cs="Calibri"/>
                <w:i/>
                <w:sz w:val="20"/>
                <w:szCs w:val="20"/>
              </w:rPr>
            </w:pPr>
            <w:r>
              <w:rPr>
                <w:rFonts w:ascii="Calibri" w:eastAsia="Calibri" w:hAnsi="Calibri" w:cs="Calibri"/>
                <w:i/>
                <w:sz w:val="20"/>
                <w:szCs w:val="20"/>
              </w:rPr>
              <w:t>Catalyse, substrat, produit, spécificité.</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Il s’agit de montrer que les enzymes, issus de l’expression génétique d’une cellule, sont essentiels à la vie cellulaire et sont aussi des marqueurs de sa spécialisation.</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Les caractéristiques de la cinétique enzymatiques, les compétitions au site actif ne sont pas attendues. Le contrôle de l’activité enzymatique par des effecteurs (ex. : T, pH) peut être utilisé par le professeur dans sa démarche mais n’est pas un attendu du programme.</w:t>
            </w:r>
          </w:p>
        </w:tc>
        <w:tc>
          <w:tcPr>
            <w:tcW w:w="5188"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les relations enzyme-substrat au niveau du site actif par un logiciel de modélisation moléculaire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et réaliser des expériences utilisant des enzymes et permettant d’identifier leurs spécificités.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des profils d’expression de cellules différenciées montrant leur équipement enzymatique.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Étude de l’interaction enzyme-substrat en comparant les vitesses initiales des réactions et faisant varier soit la concentration en substrat ; soit en enzyme. Utilisation des tangentes à t0 pour calculer la vitesse initiale. </w:t>
            </w:r>
          </w:p>
          <w:p w:rsidR="00FC31DF" w:rsidRDefault="00FC31DF">
            <w:pPr>
              <w:widowControl w:val="0"/>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tc>
      </w:tr>
    </w:tbl>
    <w:p w:rsidR="00FC31DF" w:rsidRDefault="00FC31DF">
      <w:pPr>
        <w:rPr>
          <w:rFonts w:ascii="Calibri" w:eastAsia="Calibri" w:hAnsi="Calibri" w:cs="Calibri"/>
          <w:b/>
          <w:color w:val="007E9F"/>
          <w:sz w:val="22"/>
          <w:szCs w:val="22"/>
        </w:rPr>
      </w:pPr>
    </w:p>
    <w:p w:rsidR="00FC31DF" w:rsidRDefault="00AA4460">
      <w:pPr>
        <w:rPr>
          <w:rFonts w:ascii="Calibri" w:eastAsia="Calibri" w:hAnsi="Calibri" w:cs="Calibri"/>
          <w:b/>
          <w:color w:val="007E9F"/>
          <w:sz w:val="22"/>
          <w:szCs w:val="22"/>
        </w:rPr>
      </w:pPr>
      <w:r>
        <w:br w:type="page"/>
      </w:r>
      <w:r>
        <w:rPr>
          <w:rFonts w:ascii="Calibri" w:eastAsia="Calibri" w:hAnsi="Calibri" w:cs="Calibri"/>
          <w:b/>
          <w:sz w:val="28"/>
          <w:szCs w:val="28"/>
        </w:rPr>
        <w:lastRenderedPageBreak/>
        <w:t>La dynamique interne de la Terre</w:t>
      </w:r>
      <w:r>
        <w:rPr>
          <w:rFonts w:ascii="Calibri" w:eastAsia="Calibri" w:hAnsi="Calibri" w:cs="Calibri"/>
          <w:b/>
          <w:sz w:val="23"/>
          <w:szCs w:val="23"/>
        </w:rPr>
        <w:t xml:space="preserve"> </w:t>
      </w:r>
      <w:r>
        <w:rPr>
          <w:rFonts w:ascii="Calibri" w:eastAsia="Calibri" w:hAnsi="Calibri" w:cs="Calibri"/>
          <w:b/>
          <w:sz w:val="28"/>
          <w:szCs w:val="28"/>
        </w:rPr>
        <w:t>(8/9 semaines)</w:t>
      </w:r>
    </w:p>
    <w:tbl>
      <w:tblPr>
        <w:tblStyle w:val="a0"/>
        <w:tblW w:w="15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4252"/>
        <w:gridCol w:w="2693"/>
        <w:gridCol w:w="5897"/>
        <w:gridCol w:w="766"/>
      </w:tblGrid>
      <w:tr w:rsidR="00FC31DF">
        <w:tc>
          <w:tcPr>
            <w:tcW w:w="2235" w:type="dxa"/>
          </w:tcPr>
          <w:p w:rsidR="00FC31DF" w:rsidRDefault="00FC31DF">
            <w:pPr>
              <w:rPr>
                <w:rFonts w:ascii="Calibri" w:eastAsia="Calibri" w:hAnsi="Calibri" w:cs="Calibri"/>
                <w:b/>
                <w:color w:val="007E9F"/>
                <w:sz w:val="20"/>
                <w:szCs w:val="20"/>
              </w:rPr>
            </w:pPr>
          </w:p>
        </w:tc>
        <w:tc>
          <w:tcPr>
            <w:tcW w:w="4252"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2693"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5897"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 xml:space="preserve">La structure du globe terrestre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sz w:val="20"/>
                <w:szCs w:val="20"/>
              </w:rPr>
            </w:pPr>
            <w:r>
              <w:rPr>
                <w:rFonts w:ascii="Calibri" w:eastAsia="Calibri" w:hAnsi="Calibri" w:cs="Calibri"/>
                <w:b/>
                <w:i/>
                <w:color w:val="007E9F"/>
                <w:sz w:val="20"/>
                <w:szCs w:val="20"/>
              </w:rPr>
              <w:t>Des contrastes entre les continents et les océans</w:t>
            </w: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distribution bimodale des altitudes observée entre continents et le fond des océans reflète un contraste géologique, qui se retrouve dans la nature des roches et leur densité. </w:t>
            </w:r>
          </w:p>
          <w:p w:rsidR="00FC31DF" w:rsidRDefault="00AA4460">
            <w:pPr>
              <w:rPr>
                <w:rFonts w:ascii="Calibri" w:eastAsia="Calibri" w:hAnsi="Calibri" w:cs="Calibri"/>
                <w:b/>
                <w:sz w:val="20"/>
                <w:szCs w:val="20"/>
              </w:rPr>
            </w:pPr>
            <w:r>
              <w:rPr>
                <w:rFonts w:ascii="Calibri" w:eastAsia="Calibri" w:hAnsi="Calibri" w:cs="Calibri"/>
                <w:sz w:val="20"/>
                <w:szCs w:val="20"/>
              </w:rPr>
              <w:t xml:space="preserve">Si la composition de la croûte continentale présente une certaine hétérogénéité visible en surface (roches magmatiques, sédimentaires, métamorphiques), une étude en profondeur révèle que les granites en sont les roches les plus représentatives. </w:t>
            </w:r>
          </w:p>
        </w:tc>
        <w:tc>
          <w:tcPr>
            <w:tcW w:w="2693" w:type="dxa"/>
          </w:tcPr>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Par la découverte des deux croûtes les élèves acquièrent les données fondamentales sur les principales roches rencontrées (basalte, gabbro, granites). </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Les différences de relief ne sont pas, à ce niveau, expliquées par les mécanismes de l’isostasie. L’étude pétrographique se limite à l’étude des principales caractéristiques des roches citées.</w:t>
            </w:r>
          </w:p>
        </w:tc>
        <w:tc>
          <w:tcPr>
            <w:tcW w:w="5897"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Mettre en relation des cartes et/ou des logiciels de visualisation des reliefs avec la courbe de distribution bimodale.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des cartes géologiques (carte géologique mondiale) comme des données d’observation directe (faille VEMA, forages) pour identifier les compositions des croûtes océaniques et continentales.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la carte de France au millionième pour identifier la répartition des principaux types de roches sur le territoire.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Effectuer des mesures de densité sur des roches continentales et océaniques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Mener une observation comparative des roches des croûtes océanique et continentale (composition, structure…)</w:t>
            </w:r>
          </w:p>
          <w:p w:rsidR="00FC31DF" w:rsidRDefault="00FC31DF">
            <w:pPr>
              <w:rPr>
                <w:rFonts w:ascii="Calibri" w:eastAsia="Calibri" w:hAnsi="Calibri" w:cs="Calibri"/>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 xml:space="preserve">La structure du globe terrestre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sz w:val="20"/>
                <w:szCs w:val="20"/>
              </w:rPr>
            </w:pPr>
            <w:r>
              <w:rPr>
                <w:rFonts w:ascii="Calibri" w:eastAsia="Calibri" w:hAnsi="Calibri" w:cs="Calibri"/>
                <w:b/>
                <w:i/>
                <w:color w:val="007E9F"/>
                <w:sz w:val="20"/>
                <w:szCs w:val="20"/>
              </w:rPr>
              <w:t>L’apport des études sismologiques et thermiques à la connaissance du globe terrestre</w:t>
            </w: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Un séisme résulte de la libération brutale d’énergie lors de rupture de roches soumises à des contraintes.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Les informations tirées du trajet et de la vitesse des ondes sismiques permettent de comprendre la structure interne de la Terre (croûte – manteau – noyau ; modèle sismique PREM (</w:t>
            </w:r>
            <w:proofErr w:type="spellStart"/>
            <w:r>
              <w:rPr>
                <w:rFonts w:ascii="Calibri" w:eastAsia="Calibri" w:hAnsi="Calibri" w:cs="Calibri"/>
                <w:color w:val="000000"/>
                <w:sz w:val="20"/>
                <w:szCs w:val="20"/>
              </w:rPr>
              <w:t>Preliminary</w:t>
            </w:r>
            <w:proofErr w:type="spellEnd"/>
            <w:r>
              <w:rPr>
                <w:rFonts w:ascii="Calibri" w:eastAsia="Calibri" w:hAnsi="Calibri" w:cs="Calibri"/>
                <w:color w:val="000000"/>
                <w:sz w:val="20"/>
                <w:szCs w:val="20"/>
              </w:rPr>
              <w:t xml:space="preserve"> Reference </w:t>
            </w:r>
            <w:proofErr w:type="spellStart"/>
            <w:r>
              <w:rPr>
                <w:rFonts w:ascii="Calibri" w:eastAsia="Calibri" w:hAnsi="Calibri" w:cs="Calibri"/>
                <w:color w:val="000000"/>
                <w:sz w:val="20"/>
                <w:szCs w:val="20"/>
              </w:rPr>
              <w:t>Earth</w:t>
            </w:r>
            <w:proofErr w:type="spellEnd"/>
            <w:r>
              <w:rPr>
                <w:rFonts w:ascii="Calibri" w:eastAsia="Calibri" w:hAnsi="Calibri" w:cs="Calibri"/>
                <w:color w:val="000000"/>
                <w:sz w:val="20"/>
                <w:szCs w:val="20"/>
              </w:rPr>
              <w:t xml:space="preserve"> Model), comportement mécanique du manteau permettant de distinguer lithosphère et asthénosphère ; état du noyau externe liquide et du noyau interne solide).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études sismologiques montrent les différences d’épaisseur entre la lithosphère océanique et la lithosphère continentale.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L’étude des séismes au voisinage des fosses océaniques permet de différencier le comportement d’une lithosphère cassante par rapport à une </w:t>
            </w:r>
            <w:r>
              <w:rPr>
                <w:rFonts w:ascii="Calibri" w:eastAsia="Calibri" w:hAnsi="Calibri" w:cs="Calibri"/>
                <w:sz w:val="20"/>
                <w:szCs w:val="20"/>
              </w:rPr>
              <w:t>asthénosphère</w:t>
            </w:r>
            <w:r>
              <w:rPr>
                <w:rFonts w:ascii="Calibri" w:eastAsia="Calibri" w:hAnsi="Calibri" w:cs="Calibri"/>
                <w:color w:val="000000"/>
                <w:sz w:val="20"/>
                <w:szCs w:val="20"/>
              </w:rPr>
              <w:t xml:space="preserve"> plus ductile.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température interne de la Terre croît avec la profondeur (gradient géothermique). Le profil d’évolution de la température interne présente des différences suivant les enveloppes internes de la Terre, liées aux modes de transfert </w:t>
            </w:r>
            <w:r>
              <w:rPr>
                <w:rFonts w:ascii="Calibri" w:eastAsia="Calibri" w:hAnsi="Calibri" w:cs="Calibri"/>
                <w:color w:val="000000"/>
                <w:sz w:val="20"/>
                <w:szCs w:val="20"/>
              </w:rPr>
              <w:lastRenderedPageBreak/>
              <w:t xml:space="preserve">thermique : la conduction et la convection. Le manteau terrestre est animé de mouvements de convection, mécanisme efficace de transfert thermique. </w:t>
            </w:r>
          </w:p>
          <w:p w:rsidR="00FC31DF" w:rsidRDefault="00AA4460">
            <w:pPr>
              <w:rPr>
                <w:rFonts w:ascii="Calibri" w:eastAsia="Calibri" w:hAnsi="Calibri" w:cs="Calibri"/>
                <w:b/>
                <w:sz w:val="20"/>
                <w:szCs w:val="20"/>
              </w:rPr>
            </w:pPr>
            <w:r>
              <w:rPr>
                <w:rFonts w:ascii="Calibri" w:eastAsia="Calibri" w:hAnsi="Calibri" w:cs="Calibri"/>
                <w:sz w:val="20"/>
                <w:szCs w:val="20"/>
              </w:rPr>
              <w:t>La propagation des ondes sismiques dans la Terre révèle des anomalies de vitesse par rapport au modèle PREM. Elles sont interprétées comme des hétérogénéités thermiques au sein du manteau.</w:t>
            </w:r>
          </w:p>
        </w:tc>
        <w:tc>
          <w:tcPr>
            <w:tcW w:w="2693" w:type="dxa"/>
          </w:tcPr>
          <w:p w:rsidR="00FC31DF" w:rsidRDefault="00AA4460">
            <w:pPr>
              <w:rPr>
                <w:rFonts w:ascii="Calibri" w:eastAsia="Calibri" w:hAnsi="Calibri" w:cs="Calibri"/>
                <w:i/>
                <w:sz w:val="20"/>
                <w:szCs w:val="20"/>
              </w:rPr>
            </w:pPr>
            <w:r>
              <w:rPr>
                <w:rFonts w:ascii="Calibri" w:eastAsia="Calibri" w:hAnsi="Calibri" w:cs="Calibri"/>
                <w:i/>
                <w:sz w:val="20"/>
                <w:szCs w:val="20"/>
              </w:rPr>
              <w:lastRenderedPageBreak/>
              <w:t xml:space="preserve">Contraintes, transmission des ondes sismiques, failles, réflexion, réfraction, zones d’ombre. </w:t>
            </w:r>
          </w:p>
          <w:p w:rsidR="00FC31DF" w:rsidRDefault="00FC31DF">
            <w:pPr>
              <w:rPr>
                <w:rFonts w:ascii="Calibri" w:eastAsia="Calibri" w:hAnsi="Calibri" w:cs="Calibri"/>
                <w:i/>
                <w:sz w:val="20"/>
                <w:szCs w:val="20"/>
              </w:rPr>
            </w:pPr>
          </w:p>
          <w:p w:rsidR="00FC31DF" w:rsidRDefault="00AA4460">
            <w:pPr>
              <w:widowControl w:val="0"/>
              <w:pBdr>
                <w:top w:val="nil"/>
                <w:left w:val="nil"/>
                <w:bottom w:val="nil"/>
                <w:right w:val="nil"/>
                <w:between w:val="nil"/>
              </w:pBdr>
              <w:rPr>
                <w:rFonts w:ascii="Calibri" w:eastAsia="Calibri" w:hAnsi="Calibri" w:cs="Calibri"/>
                <w:color w:val="FF0000"/>
                <w:sz w:val="20"/>
                <w:szCs w:val="20"/>
              </w:rPr>
            </w:pPr>
            <w:r>
              <w:rPr>
                <w:rFonts w:ascii="Calibri" w:eastAsia="Calibri" w:hAnsi="Calibri" w:cs="Calibri"/>
                <w:i/>
                <w:color w:val="FF0000"/>
                <w:sz w:val="20"/>
                <w:szCs w:val="20"/>
              </w:rPr>
              <w:t xml:space="preserve">L’étude sismologique permet ici d’affiner la compréhension de la structure du globe terrestre et de la lithosphère au-delà de la vision du risque sismique appréhendé par les élèves au collège. </w:t>
            </w: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Grâce au croisement de différentes méthodes, les élèves reconstituent le gradient géothermique, de manière à pouvoir mobiliser ensuite les données thermiques dans l’explication de mécanismes géologiques étudiés.</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 xml:space="preserve">Les caractéristiques d’un séisme sont dégagées à partir </w:t>
            </w:r>
            <w:r>
              <w:rPr>
                <w:rFonts w:ascii="Calibri" w:eastAsia="Calibri" w:hAnsi="Calibri" w:cs="Calibri"/>
                <w:i/>
                <w:color w:val="366091"/>
                <w:sz w:val="20"/>
                <w:szCs w:val="20"/>
              </w:rPr>
              <w:lastRenderedPageBreak/>
              <w:t>de l’étude de cas concrets et en utilisant des outils numériques enrichissant les possibilités d’analyse par les élèves. La connaissance des mécanismes au foyer n’est pas attendue.</w:t>
            </w:r>
          </w:p>
        </w:tc>
        <w:tc>
          <w:tcPr>
            <w:tcW w:w="5897"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lastRenderedPageBreak/>
              <w:t xml:space="preserve">- </w:t>
            </w:r>
            <w:r>
              <w:rPr>
                <w:rFonts w:ascii="Calibri" w:eastAsia="Calibri" w:hAnsi="Calibri" w:cs="Calibri"/>
                <w:color w:val="000000"/>
                <w:sz w:val="20"/>
                <w:szCs w:val="20"/>
              </w:rPr>
              <w:t xml:space="preserve">Consulter et exploiter une base de données sismologiques.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Traiter des données sismologiques.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une modélisation analogique et réaliser des mesures à l’aide de dispositifs d’expérimentation assisté par ordinateur, ou des microcontrôleurs pour étudier la propagation d’ondes à travers des matériaux de nature pétrographique différente ou de comportement mécanique différent.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par expérimentation assistée par ordinateur et/ou par modélisation analogique les paramètres à l’origine des modifications de la vitesse des ondes (nature du matériau, de sa rigidité/plasticité, effet de la température).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la propagation profonde des ondes (zone d’ombre, mise en évidence des discontinuités) en utilisant les lois de </w:t>
            </w:r>
            <w:proofErr w:type="spellStart"/>
            <w:r>
              <w:rPr>
                <w:rFonts w:ascii="Calibri" w:eastAsia="Calibri" w:hAnsi="Calibri" w:cs="Calibri"/>
                <w:color w:val="000000"/>
                <w:sz w:val="20"/>
                <w:szCs w:val="20"/>
              </w:rPr>
              <w:t>Snell</w:t>
            </w:r>
            <w:proofErr w:type="spellEnd"/>
            <w:r>
              <w:rPr>
                <w:rFonts w:ascii="Calibri" w:eastAsia="Calibri" w:hAnsi="Calibri" w:cs="Calibri"/>
                <w:color w:val="000000"/>
                <w:sz w:val="20"/>
                <w:szCs w:val="20"/>
              </w:rPr>
              <w:t xml:space="preserve">-Descartes et/ou mettant en </w:t>
            </w:r>
            <w:proofErr w:type="spellStart"/>
            <w:r>
              <w:rPr>
                <w:rFonts w:ascii="Calibri" w:eastAsia="Calibri" w:hAnsi="Calibri" w:cs="Calibri"/>
                <w:color w:val="000000"/>
                <w:sz w:val="20"/>
                <w:szCs w:val="20"/>
              </w:rPr>
              <w:t>oeuvre</w:t>
            </w:r>
            <w:proofErr w:type="spellEnd"/>
            <w:r>
              <w:rPr>
                <w:rFonts w:ascii="Calibri" w:eastAsia="Calibri" w:hAnsi="Calibri" w:cs="Calibri"/>
                <w:color w:val="000000"/>
                <w:sz w:val="20"/>
                <w:szCs w:val="20"/>
              </w:rPr>
              <w:t xml:space="preserve"> un modèle analogique pour montrer les zones d’ombre.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des profils de vitesse et de densité du modèle PREM.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Analyser des courbes d’augmentation de la température en fonction de la profondeur (mines, forages) ; croiser des données thermiques, </w:t>
            </w:r>
            <w:r>
              <w:rPr>
                <w:rFonts w:ascii="Calibri" w:eastAsia="Calibri" w:hAnsi="Calibri" w:cs="Calibri"/>
                <w:color w:val="000000"/>
                <w:sz w:val="20"/>
                <w:szCs w:val="20"/>
              </w:rPr>
              <w:lastRenderedPageBreak/>
              <w:t xml:space="preserve">des données de composition chimique, avec les données sismiques pour comprendre le modèle de la structure thermique de la Terre. </w:t>
            </w:r>
          </w:p>
          <w:p w:rsidR="00FC31DF" w:rsidRDefault="00AA4460">
            <w:pPr>
              <w:rPr>
                <w:rFonts w:ascii="Calibri" w:eastAsia="Calibri" w:hAnsi="Calibri" w:cs="Calibri"/>
                <w:sz w:val="20"/>
                <w:szCs w:val="20"/>
              </w:rPr>
            </w:pPr>
            <w:r>
              <w:rPr>
                <w:rFonts w:ascii="Calibri" w:eastAsia="Calibri" w:hAnsi="Calibri" w:cs="Calibri"/>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2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 xml:space="preserve">La dynamique de la lithosphère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color w:val="007E9F"/>
                <w:sz w:val="20"/>
                <w:szCs w:val="20"/>
              </w:rPr>
            </w:pPr>
            <w:r>
              <w:rPr>
                <w:rFonts w:ascii="Calibri" w:eastAsia="Calibri" w:hAnsi="Calibri" w:cs="Calibri"/>
                <w:b/>
                <w:i/>
                <w:color w:val="007E9F"/>
                <w:sz w:val="20"/>
                <w:szCs w:val="20"/>
              </w:rPr>
              <w:t>La caractérisation de la mobilité horizontale</w:t>
            </w: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lithosphère terrestre est découpée en plaques animées de mouvements</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Le mouvement des plaques, dans le passé et actuellement, peut être quantifié par différentes méthodes géologiques : études des anomalies magnétiques, mesures géodésiques, détermination de l’âge des roches par rapport à la dorsale, alignements volcaniques liés aux points chauds.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distinction de l’ensemble des indices géologiques et les mesures actuelles permettent d’identifier des zones de divergence et des zones de convergence aux caractéristiques géologiques différentes (marqueurs sismologiques, thermiques, </w:t>
            </w:r>
            <w:proofErr w:type="spellStart"/>
            <w:r>
              <w:rPr>
                <w:rFonts w:ascii="Calibri" w:eastAsia="Calibri" w:hAnsi="Calibri" w:cs="Calibri"/>
                <w:color w:val="000000"/>
                <w:sz w:val="20"/>
                <w:szCs w:val="20"/>
              </w:rPr>
              <w:t>pétrologique</w:t>
            </w:r>
            <w:proofErr w:type="spellEnd"/>
            <w:r>
              <w:rPr>
                <w:rFonts w:ascii="Calibri" w:eastAsia="Calibri" w:hAnsi="Calibri" w:cs="Calibri"/>
                <w:color w:val="000000"/>
                <w:sz w:val="20"/>
                <w:szCs w:val="20"/>
              </w:rPr>
              <w:t>).</w:t>
            </w:r>
          </w:p>
        </w:tc>
        <w:tc>
          <w:tcPr>
            <w:tcW w:w="2693" w:type="dxa"/>
            <w:vMerge w:val="restart"/>
          </w:tcPr>
          <w:p w:rsidR="00FC31DF" w:rsidRDefault="00AA4460">
            <w:pPr>
              <w:rPr>
                <w:rFonts w:ascii="Calibri" w:eastAsia="Calibri" w:hAnsi="Calibri" w:cs="Calibri"/>
                <w:i/>
                <w:sz w:val="20"/>
                <w:szCs w:val="20"/>
              </w:rPr>
            </w:pPr>
            <w:r>
              <w:rPr>
                <w:rFonts w:ascii="Calibri" w:eastAsia="Calibri" w:hAnsi="Calibri" w:cs="Calibri"/>
                <w:i/>
                <w:sz w:val="20"/>
                <w:szCs w:val="20"/>
              </w:rPr>
              <w:t>Morphologie d’une dorsale et d’une zone de subduction, failles normales et inverses, remontée asthénosphérique, magmatisme et roches associées, hydrothermalisme, augmentation de densité, panneau plongeant, fusion partielle, déformation, plis, chevauchement.</w:t>
            </w:r>
          </w:p>
          <w:p w:rsidR="00FC31DF" w:rsidRDefault="00FC31DF">
            <w:pPr>
              <w:rPr>
                <w:rFonts w:ascii="Calibri" w:eastAsia="Calibri" w:hAnsi="Calibri" w:cs="Calibri"/>
                <w:i/>
                <w:sz w:val="20"/>
                <w:szCs w:val="20"/>
              </w:rPr>
            </w:pPr>
          </w:p>
          <w:p w:rsidR="00FC31DF" w:rsidRDefault="00FC31DF">
            <w:pPr>
              <w:rPr>
                <w:rFonts w:ascii="Calibri" w:eastAsia="Calibri" w:hAnsi="Calibri" w:cs="Calibri"/>
                <w:i/>
                <w:sz w:val="20"/>
                <w:szCs w:val="20"/>
              </w:rPr>
            </w:pPr>
          </w:p>
          <w:p w:rsidR="00FC31DF" w:rsidRDefault="00FC31DF">
            <w:pPr>
              <w:rPr>
                <w:rFonts w:ascii="Calibri" w:eastAsia="Calibri" w:hAnsi="Calibri" w:cs="Calibri"/>
                <w:i/>
                <w:sz w:val="20"/>
                <w:szCs w:val="20"/>
              </w:rPr>
            </w:pP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Dans un premier temps, les élèves remobilisent leurs acquis du collège pour préciser et quantifier les mouvements des plaques lithosphériques en croisant différentes méthodes. Ainsi, ils appréhendent mieux les ordres de grandeurs (vitesse) de la dynamique lithosphérique. Ensuite, s’appuyant sur différents faits géologiques, ils découvrent les principaux phénomènes de la dynamique terrestre. Pour l'étude de marqueurs de la collision, des exemples pourront être pris dans toute chaîne active ou récente (Alpes, Pyrénées et Himalaya). </w:t>
            </w:r>
            <w:r>
              <w:rPr>
                <w:rFonts w:ascii="Calibri" w:eastAsia="Calibri" w:hAnsi="Calibri" w:cs="Calibri"/>
                <w:i/>
                <w:color w:val="FF0000"/>
                <w:sz w:val="20"/>
                <w:szCs w:val="20"/>
              </w:rPr>
              <w:lastRenderedPageBreak/>
              <w:t>Dans cette partie, les élèves trouvent aussi une explication à la formation des types de roches qu’ils ont identifiés dans la première partie.</w:t>
            </w:r>
          </w:p>
          <w:p w:rsidR="00FC31DF" w:rsidRDefault="00FC31DF">
            <w:pPr>
              <w:rPr>
                <w:rFonts w:ascii="Calibri" w:eastAsia="Calibri" w:hAnsi="Calibri" w:cs="Calibri"/>
                <w:i/>
                <w:color w:val="FF0000"/>
                <w:sz w:val="20"/>
                <w:szCs w:val="20"/>
              </w:rPr>
            </w:pP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On n’attend ni une interprétation des inversions magnétiques, ni une étude exhaustive des roches de zones de subduction.</w:t>
            </w:r>
          </w:p>
        </w:tc>
        <w:tc>
          <w:tcPr>
            <w:tcW w:w="5897"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lastRenderedPageBreak/>
              <w:t xml:space="preserve">- </w:t>
            </w:r>
            <w:r>
              <w:rPr>
                <w:rFonts w:ascii="Calibri" w:eastAsia="Calibri" w:hAnsi="Calibri" w:cs="Calibri"/>
                <w:color w:val="000000"/>
                <w:sz w:val="20"/>
                <w:szCs w:val="20"/>
              </w:rPr>
              <w:t xml:space="preserve">Identifier en utilisant des données sismiques les plaques lithosphériques.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Analyser des bases de données de vitesse de déplacement (mesure laser, mesures GPS)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Analyser et mettre en relation le flux géothermique surfacique et le contexte géodynamique à partir de cartes des flux géothermiques surfaciques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Étudier des données magnétiques ou sédimentaires permettant d’établir la divergence de part et d’autre de la dorsale.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Étude de données sur les dorsales (bathymétrie, forages…).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à 2 </w:t>
            </w:r>
            <w:proofErr w:type="spellStart"/>
            <w:r>
              <w:rPr>
                <w:rFonts w:ascii="Calibri" w:eastAsia="Calibri" w:hAnsi="Calibri" w:cs="Calibri"/>
                <w:b/>
                <w:sz w:val="20"/>
                <w:szCs w:val="20"/>
              </w:rPr>
              <w:t>sem</w:t>
            </w:r>
            <w:proofErr w:type="spellEnd"/>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 xml:space="preserve">La dynamique de la lithosphère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color w:val="007E9F"/>
                <w:sz w:val="20"/>
                <w:szCs w:val="20"/>
              </w:rPr>
            </w:pPr>
            <w:r>
              <w:rPr>
                <w:rFonts w:ascii="Calibri" w:eastAsia="Calibri" w:hAnsi="Calibri" w:cs="Calibri"/>
                <w:b/>
                <w:i/>
                <w:color w:val="007E9F"/>
                <w:sz w:val="20"/>
                <w:szCs w:val="20"/>
              </w:rPr>
              <w:t>La dynamique des zones de divergence</w:t>
            </w: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divergence des plaques de part et d’autre des dorsales favorise la mise en place d’une nouvelle lithosphère.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Celle-ci se met en place par apport de magmas mantelliques à l’origine d’une nouvelle croûte océanique. Ce magmatisme à l’aplomb des dorsales s’explique par la décompression du manteau.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Dans certaines dorsales (dorsales lentes) l’activité magmatique est plus réduite et la divergence met directement à l’affleurement des zones du manteau.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nouvelle lithosphère formée se refroidit en s’éloignant de l’axe et s’épaissit. Cet épaississement induit une augmentation progressive de la densité de la lithosphère</w:t>
            </w:r>
            <w:r>
              <w:rPr>
                <w:rFonts w:ascii="Calibri" w:eastAsia="Calibri" w:hAnsi="Calibri" w:cs="Calibri"/>
                <w:color w:val="007E9F"/>
                <w:sz w:val="20"/>
                <w:szCs w:val="20"/>
              </w:rPr>
              <w:t>.</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croûte océanique et les niveaux superficiels du manteau sont le siège d’une circulation d’eau qui modifie les minéraux.</w:t>
            </w:r>
          </w:p>
        </w:tc>
        <w:tc>
          <w:tcPr>
            <w:tcW w:w="2693" w:type="dxa"/>
            <w:vMerge/>
          </w:tcPr>
          <w:p w:rsidR="00FC31DF" w:rsidRDefault="00FC31D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97"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Études de l’affleurement à la roche des basaltes/ gabbros/péridotites et leurs équivalents hydratés (</w:t>
            </w:r>
            <w:proofErr w:type="spellStart"/>
            <w:r>
              <w:rPr>
                <w:rFonts w:ascii="Calibri" w:eastAsia="Calibri" w:hAnsi="Calibri" w:cs="Calibri"/>
                <w:color w:val="000000"/>
                <w:sz w:val="20"/>
                <w:szCs w:val="20"/>
              </w:rPr>
              <w:t>serpentinite</w:t>
            </w:r>
            <w:proofErr w:type="spellEnd"/>
            <w:r>
              <w:rPr>
                <w:rFonts w:ascii="Calibri" w:eastAsia="Calibri" w:hAnsi="Calibri" w:cs="Calibri"/>
                <w:color w:val="000000"/>
                <w:sz w:val="20"/>
                <w:szCs w:val="20"/>
              </w:rPr>
              <w:t xml:space="preserve">, gabbros à hornblende, etc.).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Calcul de la densité moyenne de l’ensemble croûte – manteau lithosphérique en fonction de son épaisseur, puis de son âge en utilisant une loi empirique reliant épaisseur et âge. </w:t>
            </w:r>
          </w:p>
          <w:p w:rsidR="00FC31DF" w:rsidRDefault="00AA4460">
            <w:pPr>
              <w:widowControl w:val="0"/>
              <w:rPr>
                <w:rFonts w:ascii="Calibri" w:eastAsia="Calibri" w:hAnsi="Calibri" w:cs="Calibri"/>
                <w:color w:val="0061AC"/>
                <w:sz w:val="20"/>
                <w:szCs w:val="20"/>
              </w:rPr>
            </w:pPr>
            <w:r>
              <w:rPr>
                <w:rFonts w:ascii="Calibri" w:eastAsia="Calibri" w:hAnsi="Calibri" w:cs="Calibri"/>
                <w:color w:val="0061AC"/>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lastRenderedPageBreak/>
              <w:t xml:space="preserve">La dynamique de la lithosphère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i/>
                <w:color w:val="007E9F"/>
                <w:sz w:val="20"/>
                <w:szCs w:val="20"/>
              </w:rPr>
            </w:pPr>
            <w:r>
              <w:rPr>
                <w:rFonts w:ascii="Calibri" w:eastAsia="Calibri" w:hAnsi="Calibri" w:cs="Calibri"/>
                <w:b/>
                <w:i/>
                <w:color w:val="007E9F"/>
                <w:sz w:val="20"/>
                <w:szCs w:val="20"/>
              </w:rPr>
              <w:t>La dynamique des zones de convergence</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i/>
                <w:color w:val="000000"/>
                <w:sz w:val="20"/>
                <w:szCs w:val="20"/>
              </w:rPr>
              <w:t xml:space="preserve">Les zones de subduction </w:t>
            </w:r>
          </w:p>
          <w:p w:rsidR="00FC31DF" w:rsidRDefault="00FC31DF">
            <w:pPr>
              <w:rPr>
                <w:rFonts w:ascii="Calibri" w:eastAsia="Calibri" w:hAnsi="Calibri" w:cs="Calibri"/>
                <w:b/>
                <w:color w:val="007E9F"/>
                <w:sz w:val="20"/>
                <w:szCs w:val="20"/>
              </w:rPr>
            </w:pP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lithosphère océanique plonge en profondeur au niveau d’une zone de subduction.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zones de subduction sont le siège d’un magmatisme sur la plaque chevauchante.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 volcanisme est de type explosif : les roches mises en place montrent une diversité </w:t>
            </w:r>
            <w:proofErr w:type="spellStart"/>
            <w:r>
              <w:rPr>
                <w:rFonts w:ascii="Calibri" w:eastAsia="Calibri" w:hAnsi="Calibri" w:cs="Calibri"/>
                <w:color w:val="000000"/>
                <w:sz w:val="20"/>
                <w:szCs w:val="20"/>
              </w:rPr>
              <w:t>pétrologique</w:t>
            </w:r>
            <w:proofErr w:type="spellEnd"/>
            <w:r>
              <w:rPr>
                <w:rFonts w:ascii="Calibri" w:eastAsia="Calibri" w:hAnsi="Calibri" w:cs="Calibri"/>
                <w:color w:val="000000"/>
                <w:sz w:val="20"/>
                <w:szCs w:val="20"/>
              </w:rPr>
              <w:t xml:space="preserve"> mais leur minéralogie atteste toujours de magmas riches en eau.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Ces magmas sont issus de la fusion partielle du coin de manteau situé sous la plaque chevauchante ; ils peuvent s'exprimer en surface ou peuvent cristalliser en profondeur, sous forme de massifs plutoniques. Ils peuvent subir des modifications lors de leur ascension, ce qui explique la diversité des roches.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fusion partielle des péridotites est favorisée par l’hydratation du coin de manteau.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fluides hydratant le coin de manteau sont apportés par des transformations minéralogiques affectant le panneau en subduction, dont une partie a été hydratée au niveau des zones de dorsales.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mobilité des plaques lithosphériques résulte de phénomènes de convection impliquant les plaques elles-mêmes et l’ensemble du manteau.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L’augmentation de la densité de la lithosphère constitue un facteur important contrôlant la subduction et, par suite, les mouvements descendants de la convection. Ceux-ci participent à leur tour à la mise en place des mouvements ascendants.</w:t>
            </w:r>
          </w:p>
        </w:tc>
        <w:tc>
          <w:tcPr>
            <w:tcW w:w="2693" w:type="dxa"/>
            <w:vMerge/>
          </w:tcPr>
          <w:p w:rsidR="00FC31DF" w:rsidRDefault="00FC31D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97"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Analyser les résultats de différentes méthodes pour identifier le plan de </w:t>
            </w:r>
            <w:proofErr w:type="spellStart"/>
            <w:r>
              <w:rPr>
                <w:rFonts w:ascii="Calibri" w:eastAsia="Calibri" w:hAnsi="Calibri" w:cs="Calibri"/>
                <w:color w:val="000000"/>
                <w:sz w:val="20"/>
                <w:szCs w:val="20"/>
              </w:rPr>
              <w:t>Wadati-Benioff</w:t>
            </w:r>
            <w:proofErr w:type="spellEnd"/>
            <w:r>
              <w:rPr>
                <w:rFonts w:ascii="Calibri" w:eastAsia="Calibri" w:hAnsi="Calibri" w:cs="Calibri"/>
                <w:color w:val="000000"/>
                <w:sz w:val="20"/>
                <w:szCs w:val="20"/>
              </w:rPr>
              <w:t xml:space="preserv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Relier la minéralogie des roches (présence de minéraux hydroxylés) mises en place (andésite, rhyolite, granites) et l'état d'hydratation du magma.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le diagramme de phases des péridotites pour montrer les effets de l’hydratation.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Comparer la minéralogie d'échantillons illustrant la déshydratation de la lithosphère (schiste bleu ; éclogite).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Discuter les relations entre vitesse d’accrétion et pourcentage de subduction aux frontières de plaques.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En considérant la densité moyenne de la lithosphère et celle de l’asthénosphère, déterminer l’épaisseur et l’âge de la lithosphère qui induiraient un déséquilibre gravitaire. Confronter les valeurs aux situations réellement observées. </w:t>
            </w:r>
          </w:p>
          <w:p w:rsidR="00FC31DF" w:rsidRDefault="00FC31DF">
            <w:pPr>
              <w:widowControl w:val="0"/>
              <w:pBdr>
                <w:top w:val="nil"/>
                <w:left w:val="nil"/>
                <w:bottom w:val="nil"/>
                <w:right w:val="nil"/>
                <w:between w:val="nil"/>
              </w:pBdr>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tc>
      </w:tr>
      <w:tr w:rsidR="00FC31DF">
        <w:tc>
          <w:tcPr>
            <w:tcW w:w="2235"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 xml:space="preserve">La dynamique de la lithosphère </w:t>
            </w:r>
          </w:p>
          <w:p w:rsidR="00FC31DF" w:rsidRDefault="00FC31DF">
            <w:pPr>
              <w:rPr>
                <w:rFonts w:ascii="Calibri" w:eastAsia="Calibri" w:hAnsi="Calibri" w:cs="Calibri"/>
                <w:b/>
                <w:color w:val="007E9F"/>
                <w:sz w:val="20"/>
                <w:szCs w:val="20"/>
              </w:rPr>
            </w:pPr>
          </w:p>
          <w:p w:rsidR="00FC31DF" w:rsidRDefault="00AA4460">
            <w:pPr>
              <w:rPr>
                <w:rFonts w:ascii="Calibri" w:eastAsia="Calibri" w:hAnsi="Calibri" w:cs="Calibri"/>
                <w:b/>
                <w:i/>
                <w:color w:val="007E9F"/>
                <w:sz w:val="20"/>
                <w:szCs w:val="20"/>
              </w:rPr>
            </w:pPr>
            <w:r>
              <w:rPr>
                <w:rFonts w:ascii="Calibri" w:eastAsia="Calibri" w:hAnsi="Calibri" w:cs="Calibri"/>
                <w:b/>
                <w:i/>
                <w:color w:val="007E9F"/>
                <w:sz w:val="20"/>
                <w:szCs w:val="20"/>
              </w:rPr>
              <w:t>La dynamique des zones de convergence</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i/>
                <w:color w:val="000000"/>
                <w:sz w:val="20"/>
                <w:szCs w:val="20"/>
              </w:rPr>
              <w:t xml:space="preserve">Les zones de subduction </w:t>
            </w:r>
          </w:p>
          <w:p w:rsidR="00FC31DF" w:rsidRDefault="00FC31DF">
            <w:pPr>
              <w:rPr>
                <w:rFonts w:ascii="Calibri" w:eastAsia="Calibri" w:hAnsi="Calibri" w:cs="Calibri"/>
                <w:b/>
                <w:color w:val="007E9F"/>
                <w:sz w:val="20"/>
                <w:szCs w:val="20"/>
              </w:rPr>
            </w:pPr>
          </w:p>
        </w:tc>
        <w:tc>
          <w:tcPr>
            <w:tcW w:w="425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L’affrontement de lithosphère de même densité conduit à un épaississement crustal. L’épaisseur de la croûte résulte d’un raccourcissement et d’un empilement des matériaux lithosphériques.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Raccourcissement et empilement sont attestés par un ensemble de structures tectoniques déformant les roches (plis, failles, chevauchements, nappes de charriage).</w:t>
            </w:r>
          </w:p>
        </w:tc>
        <w:tc>
          <w:tcPr>
            <w:tcW w:w="2693" w:type="dxa"/>
            <w:vMerge/>
          </w:tcPr>
          <w:p w:rsidR="00FC31DF" w:rsidRDefault="00FC31D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897"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organiser des données de terrain entre autres lors d'une sortie.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Observer les profils ECORS (étude de la croûte continentale et océanique par réflexion sismique).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Repérer à différentes échelles, des indices simples de modifications tectoniques, du raccourcissement et de l'empilement (par exemple avec des données sur la chaîne himalayenne). </w:t>
            </w:r>
          </w:p>
          <w:p w:rsidR="00FC31DF" w:rsidRDefault="00FC31DF">
            <w:pPr>
              <w:widowControl w:val="0"/>
              <w:rPr>
                <w:rFonts w:ascii="Calibri" w:eastAsia="Calibri" w:hAnsi="Calibri" w:cs="Calibri"/>
                <w:color w:val="000000"/>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tc>
      </w:tr>
    </w:tbl>
    <w:p w:rsidR="00FC31DF" w:rsidRDefault="00FC31DF">
      <w:pPr>
        <w:rPr>
          <w:rFonts w:ascii="Calibri" w:eastAsia="Calibri" w:hAnsi="Calibri" w:cs="Calibri"/>
          <w:b/>
          <w:color w:val="007E9F"/>
          <w:sz w:val="36"/>
          <w:szCs w:val="36"/>
        </w:rPr>
      </w:pPr>
    </w:p>
    <w:p w:rsidR="00FC31DF" w:rsidRDefault="00AA4460">
      <w:pPr>
        <w:rPr>
          <w:rFonts w:ascii="Calibri" w:eastAsia="Calibri" w:hAnsi="Calibri" w:cs="Calibri"/>
          <w:b/>
          <w:color w:val="007E9F"/>
          <w:sz w:val="36"/>
          <w:szCs w:val="36"/>
        </w:rPr>
      </w:pPr>
      <w:r>
        <w:rPr>
          <w:rFonts w:ascii="Calibri" w:eastAsia="Calibri" w:hAnsi="Calibri" w:cs="Calibri"/>
          <w:b/>
          <w:color w:val="007E9F"/>
          <w:sz w:val="36"/>
          <w:szCs w:val="36"/>
        </w:rPr>
        <w:lastRenderedPageBreak/>
        <w:t>Les enjeux contemporains de la planète</w:t>
      </w:r>
    </w:p>
    <w:p w:rsidR="00FC31DF" w:rsidRDefault="00AA4460">
      <w:pPr>
        <w:rPr>
          <w:rFonts w:ascii="Calibri" w:eastAsia="Calibri" w:hAnsi="Calibri" w:cs="Calibri"/>
          <w:b/>
          <w:sz w:val="28"/>
          <w:szCs w:val="28"/>
        </w:rPr>
      </w:pPr>
      <w:r>
        <w:rPr>
          <w:rFonts w:ascii="Calibri" w:eastAsia="Calibri" w:hAnsi="Calibri" w:cs="Calibri"/>
          <w:b/>
          <w:sz w:val="28"/>
          <w:szCs w:val="28"/>
        </w:rPr>
        <w:t>Écosystèmes et services environnementaux</w:t>
      </w:r>
      <w:r>
        <w:rPr>
          <w:b/>
          <w:sz w:val="28"/>
          <w:szCs w:val="28"/>
        </w:rPr>
        <w:t xml:space="preserve"> </w:t>
      </w:r>
      <w:r>
        <w:rPr>
          <w:rFonts w:ascii="Calibri" w:eastAsia="Calibri" w:hAnsi="Calibri" w:cs="Calibri"/>
          <w:b/>
          <w:sz w:val="28"/>
          <w:szCs w:val="28"/>
        </w:rPr>
        <w:t>(4 semaines)</w:t>
      </w:r>
    </w:p>
    <w:tbl>
      <w:tblPr>
        <w:tblStyle w:val="a1"/>
        <w:tblW w:w="15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4562"/>
        <w:gridCol w:w="3261"/>
        <w:gridCol w:w="4904"/>
        <w:gridCol w:w="766"/>
      </w:tblGrid>
      <w:tr w:rsidR="00FC31DF">
        <w:tc>
          <w:tcPr>
            <w:tcW w:w="2350" w:type="dxa"/>
          </w:tcPr>
          <w:p w:rsidR="00FC31DF" w:rsidRDefault="00FC31DF">
            <w:pPr>
              <w:rPr>
                <w:rFonts w:ascii="Calibri" w:eastAsia="Calibri" w:hAnsi="Calibri" w:cs="Calibri"/>
                <w:b/>
                <w:color w:val="007E9F"/>
                <w:sz w:val="20"/>
                <w:szCs w:val="20"/>
              </w:rPr>
            </w:pPr>
          </w:p>
        </w:tc>
        <w:tc>
          <w:tcPr>
            <w:tcW w:w="4562"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3261"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4904"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Les écosystèmes : des interactions dynamiques entre les êtres vivants et entre eux et leur milieu </w:t>
            </w:r>
          </w:p>
        </w:tc>
        <w:tc>
          <w:tcPr>
            <w:tcW w:w="456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écosystèmes sont constitués par des communautés d’êtres vivants (biocénose) interagissant au sein de leur milieu de vie (biotope).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biocénose est en interaction avec le biotope (répartition des espèces selon les conditions abiotiques). La diversité des interactions biotiques s’étudie à la lueur de leur effet sur la valeur sélective des partenaires : compétition (pour la lumière, pour l’eau, les nutriments, ...), exploitation (prédation, parasitisme) et coopération (mutualisme, dont symbiose).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Ces interactions structurent l’organisation (biodiversité de l’écosystème), l’évolution (dynamique des populations) et le fonctionnement de l’écosystème (production, flux de matière et réservoirs, recyclage de la matière organique, …).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En particulier, les êtres vivants génèrent ou facilitent des flux de matière (eau, carbone, azote…) qui entrent (absorption racinaire, photosynthèse, respiration), circulent (réseau trophique) et sortent (évapotranspiration, érosion) de l’écosystème. Une partie de la matière est recyclée, notamment grâce au sol. L’effet des écosystèmes dans les cycles géochimiques ainsi constitués, se mesure par des bilans d’entrée/sortie de matière.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Même sans l’action de l’Homme, les écosystèmes montrent une dynamique spatio-temporelle avec des perturbations (incendies, maladies) affectant les populations. La complexité du réseau d’interactions et la diversité fonctionnelle favorisent la résilience des écosystèmes, qui jusqu’à un certain seuil de perturbation, est la capacité de retrouver un état initial après perturbation. </w:t>
            </w:r>
          </w:p>
          <w:p w:rsidR="00FC31DF" w:rsidRDefault="00AA4460">
            <w:pPr>
              <w:rPr>
                <w:rFonts w:ascii="Calibri" w:eastAsia="Calibri" w:hAnsi="Calibri" w:cs="Calibri"/>
                <w:b/>
                <w:sz w:val="20"/>
                <w:szCs w:val="20"/>
              </w:rPr>
            </w:pPr>
            <w:r>
              <w:rPr>
                <w:rFonts w:ascii="Calibri" w:eastAsia="Calibri" w:hAnsi="Calibri" w:cs="Calibri"/>
                <w:sz w:val="20"/>
                <w:szCs w:val="20"/>
              </w:rPr>
              <w:t>Un écosystème se caractérise donc par un équilibre dynamique susceptible d’être bousculé par des facteurs internes et externes.</w:t>
            </w:r>
          </w:p>
        </w:tc>
        <w:tc>
          <w:tcPr>
            <w:tcW w:w="3261" w:type="dxa"/>
          </w:tcPr>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Les élèves comprennent la complexité d’un système écologique, en caractérisent l’organisation (frontière, élément, flux, interactions). Ils apprennent qu’il n’y a pas d’équilibre stable des écosystèmes mais des équilibres dynamiques susceptibles d’être bousculés (perturbation, résilience, perturbation irréversible).</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L’étude des agrosystèmes et des sols a été traitée en Seconde. Il ne s’agit pas dans cette partie de faire un catalogue exhaustif des écosystèmes (structure et fonctionnement) mais, à partir d’un exemple observable, d’appréhender la diversité des interactions dans un écosystème et leurs effets sur sa dynamique. On relie aussi la diversité fonctionnelle d’un écosystème à la diversité spécifique/ génétique, garante de cette diversité fonctionnelle.</w:t>
            </w:r>
          </w:p>
        </w:tc>
        <w:tc>
          <w:tcPr>
            <w:tcW w:w="4904"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Extraire et organiser des informations, issues de l’observation directe sur le terrain, pour savoir décrire les éléments et les interactions au sein d’un système. Comprendre l’importance de la reproductibilité des protocoles d’échantillonnage pour suivre la dynamique spatio-temporelle d’un système.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Utiliser des outils simples d’échantillonnage pour mettre en évidence la répartition de certaines espèces en fonction des conditions du milieu.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Décrire à l’aide d’observations et de préparations microscopiques et d’expériences les modalités de certaines interactions (ex : symbiose </w:t>
            </w:r>
            <w:proofErr w:type="spellStart"/>
            <w:r>
              <w:rPr>
                <w:rFonts w:ascii="Calibri" w:eastAsia="Calibri" w:hAnsi="Calibri" w:cs="Calibri"/>
                <w:color w:val="000000"/>
                <w:sz w:val="20"/>
                <w:szCs w:val="20"/>
              </w:rPr>
              <w:t>mycorhizienne</w:t>
            </w:r>
            <w:proofErr w:type="spellEnd"/>
            <w:r>
              <w:rPr>
                <w:rFonts w:ascii="Calibri" w:eastAsia="Calibri" w:hAnsi="Calibri" w:cs="Calibri"/>
                <w:color w:val="000000"/>
                <w:sz w:val="20"/>
                <w:szCs w:val="20"/>
              </w:rPr>
              <w:t xml:space="preserve">, parasitisme avec une galle sur une feuille …).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Savoir représenter un réseau d’interactions biotiques afin de mettre en évidence sa structure (liens) et sa richesse. </w:t>
            </w:r>
          </w:p>
          <w:p w:rsidR="00FC31DF" w:rsidRDefault="00FC31DF">
            <w:pPr>
              <w:widowControl w:val="0"/>
              <w:rPr>
                <w:rFonts w:ascii="Calibri" w:eastAsia="Calibri" w:hAnsi="Calibri" w:cs="Calibri"/>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Mesurer la biomasse et la production d’un écosystème à différents niveaux du réseau trophique.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Construire un cycle biogéochimique simplifié avec ces réservoirs et ces flux (on recommande le carbone) dans lequel l’écosystème intervient. Calculer un bilan de matière, considérant l’écosystème comme ouvert. </w:t>
            </w:r>
          </w:p>
          <w:p w:rsidR="00FC31DF" w:rsidRDefault="00FC31DF">
            <w:pPr>
              <w:rPr>
                <w:rFonts w:ascii="Calibri" w:eastAsia="Calibri" w:hAnsi="Calibri" w:cs="Calibri"/>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tc>
      </w:tr>
    </w:tbl>
    <w:p w:rsidR="00FC31DF" w:rsidRDefault="00AA4460">
      <w:r>
        <w:br w:type="page"/>
      </w:r>
    </w:p>
    <w:tbl>
      <w:tblPr>
        <w:tblStyle w:val="a2"/>
        <w:tblW w:w="15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4562"/>
        <w:gridCol w:w="3261"/>
        <w:gridCol w:w="4904"/>
        <w:gridCol w:w="766"/>
      </w:tblGrid>
      <w:tr w:rsidR="00FC31DF">
        <w:tc>
          <w:tcPr>
            <w:tcW w:w="2350" w:type="dxa"/>
          </w:tcPr>
          <w:p w:rsidR="00FC31DF" w:rsidRDefault="00FC31DF">
            <w:pPr>
              <w:rPr>
                <w:rFonts w:ascii="Calibri" w:eastAsia="Calibri" w:hAnsi="Calibri" w:cs="Calibri"/>
                <w:b/>
                <w:color w:val="007E9F"/>
                <w:sz w:val="20"/>
                <w:szCs w:val="20"/>
              </w:rPr>
            </w:pPr>
          </w:p>
        </w:tc>
        <w:tc>
          <w:tcPr>
            <w:tcW w:w="4562"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3261"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4904"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L’humanité et les écosystèmes : les services écosystémiques et leur gestion </w:t>
            </w:r>
          </w:p>
        </w:tc>
        <w:tc>
          <w:tcPr>
            <w:tcW w:w="4562"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L’espèce humaine est un élément parmi d’autres de tous les écosystèmes qu’elle a colonisés. Elle y vit en interaction avec d’autres espèces (parasites, commensales, domestiquées, exploitées).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L’espèce humaine affecte le fonctionnement de la plupart des écosystèmes en exploitant des ressources (forestières par exemple), en modifiant le biotope local (sylviculture, érosion des sols) ou global (changement climatique, introduction d’espèces invasives).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Beaucoup d’écosystèmes mondiaux sont impactés, avec une perte mondiale de biodiversité et des conséquences néfastes pour les activités humaines (diminution de la production, pollution des eaux, développement de maladies…).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Pourtant, l’humanité tire un grand bénéfice de fonctions assurées gratuitement par les écosystèmes : ce sont les services écosystémiques d’approvisionnement (bois, champignons, pollinisation, fruits et graines …), de régulation (dépollution de l’eau et de l’air, lutte contre l’érosion, les ravageurs et les maladies, recyclage de matière organique, fixation de carbone…) et de culture (récréation, valeur patrimoniale…).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Notre santé dépend en particulier de celle des écosystèmes qui nous environnent.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connaissance scientifique des écosystèmes (l’écologie) peut permettre une gestion rationnelle des ressources exploitables, assurant à la fois l’activité économique et un maintien des services écosystémiques. </w:t>
            </w:r>
          </w:p>
          <w:p w:rsidR="00FC31DF" w:rsidRDefault="00AA4460">
            <w:pPr>
              <w:rPr>
                <w:rFonts w:ascii="Calibri" w:eastAsia="Calibri" w:hAnsi="Calibri" w:cs="Calibri"/>
                <w:b/>
                <w:sz w:val="20"/>
                <w:szCs w:val="20"/>
              </w:rPr>
            </w:pPr>
            <w:r>
              <w:rPr>
                <w:rFonts w:ascii="Calibri" w:eastAsia="Calibri" w:hAnsi="Calibri" w:cs="Calibri"/>
                <w:sz w:val="20"/>
                <w:szCs w:val="20"/>
              </w:rPr>
              <w:t>L’ingénierie écologique est l'ensemble des techniques qui visent à manipuler, modifier, exploiter ou réparer les écosystèmes afin d’en tirer durablement le maximum de bénéfices (conservation biologique, restauration ou compensation écologique, …).</w:t>
            </w:r>
          </w:p>
        </w:tc>
        <w:tc>
          <w:tcPr>
            <w:tcW w:w="3261" w:type="dxa"/>
          </w:tcPr>
          <w:p w:rsidR="00FC31DF" w:rsidRDefault="00AA4460">
            <w:pPr>
              <w:rPr>
                <w:rFonts w:ascii="Calibri" w:eastAsia="Calibri" w:hAnsi="Calibri" w:cs="Calibri"/>
                <w:i/>
                <w:sz w:val="20"/>
                <w:szCs w:val="20"/>
              </w:rPr>
            </w:pPr>
            <w:proofErr w:type="spellStart"/>
            <w:r>
              <w:rPr>
                <w:rFonts w:ascii="Calibri" w:eastAsia="Calibri" w:hAnsi="Calibri" w:cs="Calibri"/>
                <w:i/>
                <w:sz w:val="20"/>
                <w:szCs w:val="20"/>
              </w:rPr>
              <w:t>Ecosystème</w:t>
            </w:r>
            <w:proofErr w:type="spellEnd"/>
            <w:r>
              <w:rPr>
                <w:rFonts w:ascii="Calibri" w:eastAsia="Calibri" w:hAnsi="Calibri" w:cs="Calibri"/>
                <w:i/>
                <w:sz w:val="20"/>
                <w:szCs w:val="20"/>
              </w:rPr>
              <w:t xml:space="preserve">, interactions, biodiversité, relations interspécifiques, équilibre dynamique, services écosystémiques. </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Transformer l’approche </w:t>
            </w:r>
            <w:proofErr w:type="spellStart"/>
            <w:r>
              <w:rPr>
                <w:rFonts w:ascii="Calibri" w:eastAsia="Calibri" w:hAnsi="Calibri" w:cs="Calibri"/>
                <w:i/>
                <w:color w:val="FF0000"/>
                <w:sz w:val="20"/>
                <w:szCs w:val="20"/>
              </w:rPr>
              <w:t>anthropocentrée</w:t>
            </w:r>
            <w:proofErr w:type="spellEnd"/>
            <w:r>
              <w:rPr>
                <w:rFonts w:ascii="Calibri" w:eastAsia="Calibri" w:hAnsi="Calibri" w:cs="Calibri"/>
                <w:i/>
                <w:color w:val="FF0000"/>
                <w:sz w:val="20"/>
                <w:szCs w:val="20"/>
              </w:rPr>
              <w:t xml:space="preserve"> en une approche </w:t>
            </w:r>
            <w:proofErr w:type="spellStart"/>
            <w:r>
              <w:rPr>
                <w:rFonts w:ascii="Calibri" w:eastAsia="Calibri" w:hAnsi="Calibri" w:cs="Calibri"/>
                <w:i/>
                <w:color w:val="FF0000"/>
                <w:sz w:val="20"/>
                <w:szCs w:val="20"/>
              </w:rPr>
              <w:t>écocentrée</w:t>
            </w:r>
            <w:proofErr w:type="spellEnd"/>
            <w:r>
              <w:rPr>
                <w:rFonts w:ascii="Calibri" w:eastAsia="Calibri" w:hAnsi="Calibri" w:cs="Calibri"/>
                <w:i/>
                <w:color w:val="FF0000"/>
                <w:sz w:val="20"/>
                <w:szCs w:val="20"/>
              </w:rPr>
              <w:t xml:space="preserve"> où l’homme est un élément des écosystèmes. Comprendre que la démarche scientifique permet d’apporter des solutions à des problèmes écologiques complexes.</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On ne cherche pas l’exhaustivité dans le recensement des menaces pesant sur les écosystèmes : il importe que chaque élève comprenne les enjeux et mécanismes d’une menace dans sa complexité ainsi que les solutions apportées par la démarche scientifique.</w:t>
            </w:r>
          </w:p>
        </w:tc>
        <w:tc>
          <w:tcPr>
            <w:tcW w:w="4904" w:type="dxa"/>
          </w:tcPr>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Inscrire l’espèce humaine dans la représentation construite du réseau d’interaction.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Prendre conscience de notre interdépendance avec le monde vivant qui nous entoure. Comprendre que la plupart des forêts actuelles (et autres écosystèmes) reflètent aussi un projet d’aménagement.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Recueillir et analyser des données avant, pendant et après la perturbation d’un écosystème (incendie, destruction, etc.). </w:t>
            </w:r>
          </w:p>
          <w:p w:rsidR="00FC31DF" w:rsidRDefault="00FC31DF">
            <w:pPr>
              <w:widowControl w:val="0"/>
              <w:rPr>
                <w:rFonts w:ascii="Calibri" w:eastAsia="Calibri" w:hAnsi="Calibri" w:cs="Calibri"/>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organiser des informations, notamment historiques et de terrain, pour identifier les impacts des activités humaines sur les écosystèmes.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Mettre en </w:t>
            </w:r>
            <w:proofErr w:type="spellStart"/>
            <w:r>
              <w:rPr>
                <w:rFonts w:ascii="Calibri" w:eastAsia="Calibri" w:hAnsi="Calibri" w:cs="Calibri"/>
                <w:color w:val="000000"/>
                <w:sz w:val="20"/>
                <w:szCs w:val="20"/>
              </w:rPr>
              <w:t>oeuvre</w:t>
            </w:r>
            <w:proofErr w:type="spellEnd"/>
            <w:r>
              <w:rPr>
                <w:rFonts w:ascii="Calibri" w:eastAsia="Calibri" w:hAnsi="Calibri" w:cs="Calibri"/>
                <w:color w:val="000000"/>
                <w:sz w:val="20"/>
                <w:szCs w:val="20"/>
              </w:rPr>
              <w:t xml:space="preserve"> une démarche de projet (recherche documentaire, récolte et traitement de données, etc.) pour faire appréhender les services écosystémiques (ses acteurs et ses mécanismes) et proposer des solutions de gestion durable des écosystèmes.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Connaître les débats existant autour de la monétarisation des services écosystémiques.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Comprendre l’importance de la démarche scientifique dans une gestion éclairée et modulable des écosystèmes afin de profiter durablement des services écosystémiques.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Prendre conscience de la responsabilité humaine et du débat sociétal face à l’environnement et au monde vivant. </w:t>
            </w:r>
          </w:p>
          <w:p w:rsidR="00FC31DF" w:rsidRDefault="00FC31DF">
            <w:pPr>
              <w:rPr>
                <w:rFonts w:ascii="Calibri" w:eastAsia="Calibri" w:hAnsi="Calibri" w:cs="Calibri"/>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bl>
    <w:p w:rsidR="00FC31DF" w:rsidRDefault="00FC31DF">
      <w:pPr>
        <w:rPr>
          <w:rFonts w:ascii="Calibri" w:eastAsia="Calibri" w:hAnsi="Calibri" w:cs="Calibri"/>
          <w:b/>
          <w:color w:val="007E9F"/>
          <w:sz w:val="36"/>
          <w:szCs w:val="36"/>
        </w:rPr>
      </w:pPr>
    </w:p>
    <w:p w:rsidR="00FC31DF" w:rsidRDefault="00FC31DF">
      <w:pPr>
        <w:rPr>
          <w:rFonts w:ascii="Calibri" w:eastAsia="Calibri" w:hAnsi="Calibri" w:cs="Calibri"/>
          <w:b/>
          <w:color w:val="007E9F"/>
          <w:sz w:val="36"/>
          <w:szCs w:val="36"/>
        </w:rPr>
      </w:pPr>
    </w:p>
    <w:p w:rsidR="00FC31DF" w:rsidRDefault="00AA4460">
      <w:pPr>
        <w:rPr>
          <w:rFonts w:ascii="Calibri" w:eastAsia="Calibri" w:hAnsi="Calibri" w:cs="Calibri"/>
          <w:b/>
          <w:color w:val="007E9F"/>
          <w:sz w:val="22"/>
          <w:szCs w:val="22"/>
        </w:rPr>
      </w:pPr>
      <w:r>
        <w:rPr>
          <w:rFonts w:ascii="Calibri" w:eastAsia="Calibri" w:hAnsi="Calibri" w:cs="Calibri"/>
          <w:b/>
          <w:color w:val="007E9F"/>
          <w:sz w:val="36"/>
          <w:szCs w:val="36"/>
        </w:rPr>
        <w:lastRenderedPageBreak/>
        <w:t>Corps humain et santé</w:t>
      </w:r>
    </w:p>
    <w:p w:rsidR="00FC31DF" w:rsidRDefault="00AA4460">
      <w:pPr>
        <w:rPr>
          <w:rFonts w:ascii="Calibri" w:eastAsia="Calibri" w:hAnsi="Calibri" w:cs="Calibri"/>
          <w:b/>
          <w:sz w:val="28"/>
          <w:szCs w:val="28"/>
        </w:rPr>
      </w:pPr>
      <w:r>
        <w:rPr>
          <w:rFonts w:ascii="Calibri" w:eastAsia="Calibri" w:hAnsi="Calibri" w:cs="Calibri"/>
          <w:b/>
          <w:sz w:val="28"/>
          <w:szCs w:val="28"/>
        </w:rPr>
        <w:t>Variation génétique et santé (4/5 semaines)</w:t>
      </w:r>
    </w:p>
    <w:tbl>
      <w:tblPr>
        <w:tblStyle w:val="a3"/>
        <w:tblW w:w="158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3854"/>
        <w:gridCol w:w="4394"/>
        <w:gridCol w:w="4479"/>
        <w:gridCol w:w="766"/>
      </w:tblGrid>
      <w:tr w:rsidR="00FC31DF">
        <w:tc>
          <w:tcPr>
            <w:tcW w:w="2350" w:type="dxa"/>
          </w:tcPr>
          <w:p w:rsidR="00FC31DF" w:rsidRDefault="00FC31DF">
            <w:pPr>
              <w:rPr>
                <w:rFonts w:ascii="Calibri" w:eastAsia="Calibri" w:hAnsi="Calibri" w:cs="Calibri"/>
                <w:b/>
                <w:color w:val="007E9F"/>
                <w:sz w:val="20"/>
                <w:szCs w:val="20"/>
              </w:rPr>
            </w:pPr>
          </w:p>
        </w:tc>
        <w:tc>
          <w:tcPr>
            <w:tcW w:w="3854"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4394"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4479"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Mutations et santé </w:t>
            </w:r>
          </w:p>
        </w:tc>
        <w:tc>
          <w:tcPr>
            <w:tcW w:w="3854"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Certaines mutations, héritées ou nouvellement produites, sont responsables de pathologies parce qu’elles affectent l’expression de certains gènes ou altèrent leurs produits.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L’examen des arbres généalogiques familiaux permet de connaître les modes de transmission héréditaire des déterminants génétiques responsables. L’étude des génomes de grandes cohortes de patients est à la base de l’identification des gènes correspondants.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Dans le cas d’une maladie </w:t>
            </w:r>
            <w:proofErr w:type="spellStart"/>
            <w:r>
              <w:rPr>
                <w:rFonts w:ascii="Calibri" w:eastAsia="Calibri" w:hAnsi="Calibri" w:cs="Calibri"/>
                <w:color w:val="000000"/>
                <w:sz w:val="20"/>
                <w:szCs w:val="20"/>
              </w:rPr>
              <w:t>monogénique</w:t>
            </w:r>
            <w:proofErr w:type="spellEnd"/>
            <w:r>
              <w:rPr>
                <w:rFonts w:ascii="Calibri" w:eastAsia="Calibri" w:hAnsi="Calibri" w:cs="Calibri"/>
                <w:color w:val="000000"/>
                <w:sz w:val="20"/>
                <w:szCs w:val="20"/>
              </w:rPr>
              <w:t xml:space="preserve"> à transmission autosomique récessive, seuls les homozygotes pour l’allèle muté sont atteints. Les hétérozygotes sont des porteurs sains. </w:t>
            </w:r>
          </w:p>
          <w:p w:rsidR="00FC31DF" w:rsidRDefault="00AA4460">
            <w:pPr>
              <w:rPr>
                <w:rFonts w:ascii="Calibri" w:eastAsia="Calibri" w:hAnsi="Calibri" w:cs="Calibri"/>
                <w:b/>
                <w:sz w:val="20"/>
                <w:szCs w:val="20"/>
              </w:rPr>
            </w:pPr>
            <w:r>
              <w:rPr>
                <w:rFonts w:ascii="Calibri" w:eastAsia="Calibri" w:hAnsi="Calibri" w:cs="Calibri"/>
                <w:sz w:val="20"/>
                <w:szCs w:val="20"/>
              </w:rPr>
              <w:t>Selon les cas, les traitements apportés visent à compenser par des médicaments la fonction altérée ou à contrôler les conditions de milieu. Dans certains cas, on peut envisager une thérapie génique visant à remplacer l’allèle muté dans les cellules du tissu atteint.</w:t>
            </w:r>
          </w:p>
        </w:tc>
        <w:tc>
          <w:tcPr>
            <w:tcW w:w="4394" w:type="dxa"/>
          </w:tcPr>
          <w:p w:rsidR="00FC31DF" w:rsidRDefault="00AA4460">
            <w:pPr>
              <w:rPr>
                <w:rFonts w:ascii="Calibri" w:eastAsia="Calibri" w:hAnsi="Calibri" w:cs="Calibri"/>
                <w:i/>
                <w:sz w:val="20"/>
                <w:szCs w:val="20"/>
              </w:rPr>
            </w:pPr>
            <w:r>
              <w:rPr>
                <w:rFonts w:ascii="Calibri" w:eastAsia="Calibri" w:hAnsi="Calibri" w:cs="Calibri"/>
                <w:i/>
                <w:sz w:val="20"/>
                <w:szCs w:val="20"/>
              </w:rPr>
              <w:t xml:space="preserve">Risque génétique, thérapie génique. </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Les élèves comprennent les causes, le mode de transmission, les effets phénotypiques et les traitements possibles d’une maladie génétique </w:t>
            </w:r>
            <w:proofErr w:type="spellStart"/>
            <w:r>
              <w:rPr>
                <w:rFonts w:ascii="Calibri" w:eastAsia="Calibri" w:hAnsi="Calibri" w:cs="Calibri"/>
                <w:i/>
                <w:color w:val="FF0000"/>
                <w:sz w:val="20"/>
                <w:szCs w:val="20"/>
              </w:rPr>
              <w:t>monogénique</w:t>
            </w:r>
            <w:proofErr w:type="spellEnd"/>
            <w:r>
              <w:rPr>
                <w:rFonts w:ascii="Calibri" w:eastAsia="Calibri" w:hAnsi="Calibri" w:cs="Calibri"/>
                <w:i/>
                <w:color w:val="FF0000"/>
                <w:sz w:val="20"/>
                <w:szCs w:val="20"/>
              </w:rPr>
              <w:t>.</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 xml:space="preserve">Aucune connaissance spécifique concernant une maladie génétique précise n’est attendue mais un élève doit pouvoir conduire une étude à partir des documents fournis (en se limitant au cas de maladies </w:t>
            </w:r>
            <w:proofErr w:type="spellStart"/>
            <w:r>
              <w:rPr>
                <w:rFonts w:ascii="Calibri" w:eastAsia="Calibri" w:hAnsi="Calibri" w:cs="Calibri"/>
                <w:i/>
                <w:color w:val="366091"/>
                <w:sz w:val="20"/>
                <w:szCs w:val="20"/>
              </w:rPr>
              <w:t>autosomales</w:t>
            </w:r>
            <w:proofErr w:type="spellEnd"/>
            <w:r>
              <w:rPr>
                <w:rFonts w:ascii="Calibri" w:eastAsia="Calibri" w:hAnsi="Calibri" w:cs="Calibri"/>
                <w:i/>
                <w:color w:val="366091"/>
                <w:sz w:val="20"/>
                <w:szCs w:val="20"/>
              </w:rPr>
              <w:t xml:space="preserve"> </w:t>
            </w:r>
            <w:proofErr w:type="spellStart"/>
            <w:r>
              <w:rPr>
                <w:rFonts w:ascii="Calibri" w:eastAsia="Calibri" w:hAnsi="Calibri" w:cs="Calibri"/>
                <w:i/>
                <w:color w:val="366091"/>
                <w:sz w:val="20"/>
                <w:szCs w:val="20"/>
              </w:rPr>
              <w:t>monogéniques</w:t>
            </w:r>
            <w:proofErr w:type="spellEnd"/>
            <w:r>
              <w:rPr>
                <w:rFonts w:ascii="Calibri" w:eastAsia="Calibri" w:hAnsi="Calibri" w:cs="Calibri"/>
                <w:i/>
                <w:color w:val="366091"/>
                <w:sz w:val="20"/>
                <w:szCs w:val="20"/>
              </w:rPr>
              <w:t xml:space="preserve">). </w:t>
            </w:r>
          </w:p>
        </w:tc>
        <w:tc>
          <w:tcPr>
            <w:tcW w:w="4479"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organiser des informations pour :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établir l’origine génétique d’une maladie ou d’un syndrome à partir d’arbres généalogiques ; - prédire les risques génétiques des nouvelles générations en calculant leur probabilité (conseil génétique).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organiser des informations relatives à une maladie génétique </w:t>
            </w:r>
            <w:proofErr w:type="spellStart"/>
            <w:r>
              <w:rPr>
                <w:rFonts w:ascii="Calibri" w:eastAsia="Calibri" w:hAnsi="Calibri" w:cs="Calibri"/>
                <w:color w:val="000000"/>
                <w:sz w:val="20"/>
                <w:szCs w:val="20"/>
              </w:rPr>
              <w:t>monogénique</w:t>
            </w:r>
            <w:proofErr w:type="spellEnd"/>
            <w:r>
              <w:rPr>
                <w:rFonts w:ascii="Calibri" w:eastAsia="Calibri" w:hAnsi="Calibri" w:cs="Calibri"/>
                <w:color w:val="000000"/>
                <w:sz w:val="20"/>
                <w:szCs w:val="20"/>
              </w:rPr>
              <w:t xml:space="preserve"> suffisamment fréquente pour que l’on puisse disposer d’un catalogue d’allèles permettant de relier un génotype au phénotype. La mucoviscidose est suggérée en raison de la diversité des allèles mutés dans la population, mais le professeur pourra préférer d’autres exemples (</w:t>
            </w:r>
            <w:r>
              <w:rPr>
                <w:rFonts w:ascii="Calibri" w:eastAsia="Calibri" w:hAnsi="Calibri" w:cs="Calibri"/>
                <w:i/>
                <w:color w:val="000000"/>
                <w:sz w:val="20"/>
                <w:szCs w:val="20"/>
              </w:rPr>
              <w:t xml:space="preserve">drépanocytose, </w:t>
            </w:r>
            <w:r>
              <w:rPr>
                <w:rFonts w:ascii="Calibri" w:eastAsia="Calibri" w:hAnsi="Calibri" w:cs="Calibri"/>
                <w:color w:val="000000"/>
                <w:sz w:val="20"/>
                <w:szCs w:val="20"/>
              </w:rPr>
              <w:t>b</w:t>
            </w:r>
            <w:r>
              <w:rPr>
                <w:rFonts w:ascii="Calibri" w:eastAsia="Calibri" w:hAnsi="Calibri" w:cs="Calibri"/>
                <w:i/>
                <w:color w:val="000000"/>
                <w:sz w:val="20"/>
                <w:szCs w:val="20"/>
              </w:rPr>
              <w:t xml:space="preserve">-thalassémie, myopathie de Duchenne, etc.).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organiser des informations relatives aux traitements médicaux envisageables en fonction de la variété des manifestations pathologiques observées (tissus affectés, âge moyen d’apparition des symptômes, sévérité du syndrome …). </w:t>
            </w:r>
          </w:p>
          <w:p w:rsidR="00FC31DF" w:rsidRDefault="00AA4460">
            <w:pPr>
              <w:rPr>
                <w:rFonts w:ascii="Calibri" w:eastAsia="Calibri" w:hAnsi="Calibri" w:cs="Calibri"/>
                <w:sz w:val="20"/>
                <w:szCs w:val="20"/>
              </w:rPr>
            </w:pPr>
            <w:r>
              <w:rPr>
                <w:rFonts w:ascii="Calibri" w:eastAsia="Calibri" w:hAnsi="Calibri" w:cs="Calibri"/>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Patrimoine génétique et santé </w:t>
            </w:r>
          </w:p>
        </w:tc>
        <w:tc>
          <w:tcPr>
            <w:tcW w:w="3854"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plupart des pathologies d’origine génétique sont dues à l’interaction de nombreux gènes. Certains allèles de certains gènes rendent plus probable l’apparition d’une pathologie. Le fond génétique individuel intervient dans la santé de l’individu. </w:t>
            </w:r>
          </w:p>
          <w:p w:rsidR="00FC31DF" w:rsidRDefault="00AA4460">
            <w:pPr>
              <w:rPr>
                <w:rFonts w:ascii="Calibri" w:eastAsia="Calibri" w:hAnsi="Calibri" w:cs="Calibri"/>
                <w:b/>
                <w:sz w:val="20"/>
                <w:szCs w:val="20"/>
              </w:rPr>
            </w:pPr>
            <w:r>
              <w:rPr>
                <w:rFonts w:ascii="Calibri" w:eastAsia="Calibri" w:hAnsi="Calibri" w:cs="Calibri"/>
                <w:sz w:val="20"/>
                <w:szCs w:val="20"/>
              </w:rPr>
              <w:t>De plus, mode de vie et conditions de milieu peuvent interagir dans la probabilité d’apparition d’une pathologie (on peut citer, par exemple, la sensibilité aux rayonnements solaire).</w:t>
            </w:r>
          </w:p>
        </w:tc>
        <w:tc>
          <w:tcPr>
            <w:tcW w:w="4394" w:type="dxa"/>
          </w:tcPr>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Les élèves doivent savoir que la détermination des causes d’une maladie repose sur un mode de raisonnement et des outils statistiques. Une pathologie précise (maladie cardiovasculaire ou diabète de type II, par exemple) est utilisée pour illustrer le thème. Les élèves développent leur esprit critique face aux discours simplificateurs (facteurs dit déterminants, génétiques ou non, …). </w:t>
            </w:r>
          </w:p>
          <w:p w:rsidR="00FC31DF" w:rsidRDefault="00FC31DF">
            <w:pPr>
              <w:rPr>
                <w:rFonts w:ascii="Calibri" w:eastAsia="Calibri" w:hAnsi="Calibri" w:cs="Calibri"/>
                <w:i/>
                <w:color w:val="FF0000"/>
                <w:sz w:val="20"/>
                <w:szCs w:val="20"/>
              </w:rPr>
            </w:pPr>
          </w:p>
          <w:p w:rsidR="00FC31DF" w:rsidRDefault="00AA4460">
            <w:pPr>
              <w:widowControl w:val="0"/>
              <w:pBdr>
                <w:top w:val="nil"/>
                <w:left w:val="nil"/>
                <w:bottom w:val="nil"/>
                <w:right w:val="nil"/>
                <w:between w:val="nil"/>
              </w:pBdr>
              <w:rPr>
                <w:rFonts w:ascii="Calibri" w:eastAsia="Calibri" w:hAnsi="Calibri" w:cs="Calibri"/>
                <w:b/>
                <w:color w:val="366091"/>
                <w:sz w:val="20"/>
                <w:szCs w:val="20"/>
              </w:rPr>
            </w:pPr>
            <w:r>
              <w:rPr>
                <w:rFonts w:ascii="Calibri" w:eastAsia="Calibri" w:hAnsi="Calibri" w:cs="Calibri"/>
                <w:i/>
                <w:color w:val="366091"/>
                <w:sz w:val="20"/>
                <w:szCs w:val="20"/>
              </w:rPr>
              <w:t xml:space="preserve">A partir de l’exemple choisi, les élèves discernent les principes généraux d’une approche épidémiologique, sans formalisme mathématique complexe. Ils ne développent pas une expertise réelle en matière d’épidémiologie, mais sont </w:t>
            </w:r>
            <w:r>
              <w:rPr>
                <w:rFonts w:ascii="Calibri" w:eastAsia="Calibri" w:hAnsi="Calibri" w:cs="Calibri"/>
                <w:i/>
                <w:color w:val="366091"/>
                <w:sz w:val="20"/>
                <w:szCs w:val="20"/>
              </w:rPr>
              <w:lastRenderedPageBreak/>
              <w:t>sensibilisés à ce type d’approche.</w:t>
            </w:r>
          </w:p>
        </w:tc>
        <w:tc>
          <w:tcPr>
            <w:tcW w:w="4479" w:type="dxa"/>
          </w:tcPr>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lastRenderedPageBreak/>
              <w:t xml:space="preserve">- </w:t>
            </w:r>
            <w:r>
              <w:rPr>
                <w:rFonts w:ascii="Calibri" w:eastAsia="Calibri" w:hAnsi="Calibri" w:cs="Calibri"/>
                <w:color w:val="000000"/>
                <w:sz w:val="20"/>
                <w:szCs w:val="20"/>
              </w:rPr>
              <w:t xml:space="preserve">Recenser, extraire et organiser des informations pour identifier : </w:t>
            </w:r>
          </w:p>
          <w:p w:rsidR="00FC31DF" w:rsidRDefault="00AA4460">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 l’origine multigénique de certaines pathologies ; </w:t>
            </w:r>
          </w:p>
          <w:p w:rsidR="00FC31DF" w:rsidRDefault="00AA4460">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 l’influence de facteurs environnementaux.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Identifier, dans le cas d’une maladie à causalité multifactorielle, les principes, les intérêts et les limites de l’épidémiologie (descriptive ou analytique) et de ses méthodes (étude de cohortes et témoins).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Mener une analyse statistique simple sur des données de santé ; cartographier une pathologie en la visualisant sur un système d’information </w:t>
            </w:r>
            <w:proofErr w:type="spellStart"/>
            <w:r>
              <w:rPr>
                <w:rFonts w:ascii="Calibri" w:eastAsia="Calibri" w:hAnsi="Calibri" w:cs="Calibri"/>
                <w:color w:val="000000"/>
                <w:sz w:val="20"/>
                <w:szCs w:val="20"/>
              </w:rPr>
              <w:lastRenderedPageBreak/>
              <w:t>géoscientifique</w:t>
            </w:r>
            <w:proofErr w:type="spellEnd"/>
            <w:r>
              <w:rPr>
                <w:rFonts w:ascii="Calibri" w:eastAsia="Calibri" w:hAnsi="Calibri" w:cs="Calibri"/>
                <w:color w:val="000000"/>
                <w:sz w:val="20"/>
                <w:szCs w:val="20"/>
              </w:rPr>
              <w:t xml:space="preserve">, par exemple.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Appréhender de manière critique les conditions de validité d’affirmations lues ou entendues concernant la responsabilité d’un gène ou d’un facteur de l’environnement dans le développement d’une maladie.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Savoir expliciter ses comportements face à un risque de santé pour exercer sa responsabilité individuelle ou collective. </w:t>
            </w:r>
          </w:p>
          <w:p w:rsidR="00FC31DF" w:rsidRDefault="00FC31DF">
            <w:pPr>
              <w:rPr>
                <w:rFonts w:ascii="Calibri" w:eastAsia="Calibri" w:hAnsi="Calibri" w:cs="Calibri"/>
                <w:i/>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1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Altérations du génome et cancérisation</w:t>
            </w:r>
          </w:p>
        </w:tc>
        <w:tc>
          <w:tcPr>
            <w:tcW w:w="3854"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Des modifications du génome des cellules somatiques surviennent au cours de la vie individuelle par mutations spontanées ou induites par un agent mutagène ou certaines infections virales. Elles peuvent donner naissance à une lignée cellulaire dont la prolifération incontrôlée est à l’origine de cancers.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On connaît, de plus, des facteurs génétiques hérités qui modifient la susceptibilité des individus à différents types de cancers.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connaissance des causes d’apparition d’un type de cancers permet d’envisager des mesures de protection (évitement des agents mutagènes, surveillance régulière en fonction de l’âge, vaccination), de traitements (médicaments, thérapie génique par exemple) et de guérison.</w:t>
            </w:r>
          </w:p>
        </w:tc>
        <w:tc>
          <w:tcPr>
            <w:tcW w:w="4394" w:type="dxa"/>
          </w:tcPr>
          <w:p w:rsidR="00FC31DF" w:rsidRDefault="00AA4460">
            <w:pPr>
              <w:rPr>
                <w:rFonts w:ascii="Calibri" w:eastAsia="Calibri" w:hAnsi="Calibri" w:cs="Calibri"/>
                <w:i/>
                <w:sz w:val="20"/>
                <w:szCs w:val="20"/>
              </w:rPr>
            </w:pPr>
            <w:r>
              <w:rPr>
                <w:rFonts w:ascii="Calibri" w:eastAsia="Calibri" w:hAnsi="Calibri" w:cs="Calibri"/>
                <w:i/>
                <w:sz w:val="20"/>
                <w:szCs w:val="20"/>
              </w:rPr>
              <w:t>Mutations, cancérisation, facteurs de risques.</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 xml:space="preserve">Les élèves acquièrent les connaissances fondamentales sur le développement des cancers, sur leurs origines et leurs formes multiples. Ils comprennent que l’identification de l’origine de certains cancers permet la mise en </w:t>
            </w:r>
            <w:proofErr w:type="spellStart"/>
            <w:r>
              <w:rPr>
                <w:rFonts w:ascii="Calibri" w:eastAsia="Calibri" w:hAnsi="Calibri" w:cs="Calibri"/>
                <w:i/>
                <w:color w:val="FF0000"/>
                <w:sz w:val="20"/>
                <w:szCs w:val="20"/>
              </w:rPr>
              <w:t>oeuvre</w:t>
            </w:r>
            <w:proofErr w:type="spellEnd"/>
            <w:r>
              <w:rPr>
                <w:rFonts w:ascii="Calibri" w:eastAsia="Calibri" w:hAnsi="Calibri" w:cs="Calibri"/>
                <w:i/>
                <w:color w:val="FF0000"/>
                <w:sz w:val="20"/>
                <w:szCs w:val="20"/>
              </w:rPr>
              <w:t xml:space="preserve"> de mesures de santé publique.</w:t>
            </w:r>
          </w:p>
          <w:p w:rsidR="00FC31DF" w:rsidRDefault="00FC31DF">
            <w:pPr>
              <w:rPr>
                <w:rFonts w:ascii="Calibri" w:eastAsia="Calibri" w:hAnsi="Calibri" w:cs="Calibri"/>
                <w:i/>
                <w:color w:val="FF0000"/>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Les mécanismes moléculaires de la cancérisation ne sont pas à traiter.</w:t>
            </w:r>
          </w:p>
        </w:tc>
        <w:tc>
          <w:tcPr>
            <w:tcW w:w="4479"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Recenser, extraire et organiser des informations pour identifier les facteurs de cancérisation (agents mutagènes, infections virales, susceptibilité génétique).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Estimer l’augmentation du taux de mutation induit par un agent mutagène.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les causes multiples pouvant concourir au développement de certains cancers (pulmonaire, hépatique, peau) et les mesures de prévention possibles (limitation de l’exposition aux UV et à diverses pollutions chimiques, politique antitabac, etc.).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Identifier l’importance, en matière de santé publique, de certains virus liés à la cancérisation (hépatite B, papillomavirus) et connaître les méthodes de prévention possibles (vaccination). </w:t>
            </w:r>
          </w:p>
          <w:p w:rsidR="00FC31DF" w:rsidRDefault="00FC31DF">
            <w:pPr>
              <w:widowControl w:val="0"/>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1 </w:t>
            </w:r>
            <w:proofErr w:type="spellStart"/>
            <w:r>
              <w:rPr>
                <w:rFonts w:ascii="Calibri" w:eastAsia="Calibri" w:hAnsi="Calibri" w:cs="Calibri"/>
                <w:b/>
                <w:sz w:val="20"/>
                <w:szCs w:val="20"/>
              </w:rPr>
              <w:t>sem</w:t>
            </w:r>
            <w:proofErr w:type="spellEnd"/>
          </w:p>
        </w:tc>
      </w:tr>
    </w:tbl>
    <w:p w:rsidR="00FC31DF" w:rsidRDefault="00FC31DF"/>
    <w:p w:rsidR="00FC31DF" w:rsidRDefault="00AA4460">
      <w:pPr>
        <w:rPr>
          <w:rFonts w:ascii="Calibri" w:eastAsia="Calibri" w:hAnsi="Calibri" w:cs="Calibri"/>
          <w:sz w:val="28"/>
          <w:szCs w:val="28"/>
        </w:rPr>
      </w:pPr>
      <w:r>
        <w:br w:type="page"/>
      </w:r>
      <w:r>
        <w:rPr>
          <w:rFonts w:ascii="Calibri" w:eastAsia="Calibri" w:hAnsi="Calibri" w:cs="Calibri"/>
          <w:b/>
          <w:sz w:val="28"/>
          <w:szCs w:val="28"/>
        </w:rPr>
        <w:lastRenderedPageBreak/>
        <w:t>Le fonctionnement du système immunitaire humain (6 semaines)</w:t>
      </w:r>
    </w:p>
    <w:tbl>
      <w:tblPr>
        <w:tblStyle w:val="a4"/>
        <w:tblW w:w="15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5271"/>
        <w:gridCol w:w="4111"/>
        <w:gridCol w:w="3345"/>
        <w:gridCol w:w="766"/>
      </w:tblGrid>
      <w:tr w:rsidR="00FC31DF">
        <w:tc>
          <w:tcPr>
            <w:tcW w:w="2350" w:type="dxa"/>
          </w:tcPr>
          <w:p w:rsidR="00FC31DF" w:rsidRDefault="00FC31DF">
            <w:pPr>
              <w:rPr>
                <w:rFonts w:ascii="Calibri" w:eastAsia="Calibri" w:hAnsi="Calibri" w:cs="Calibri"/>
                <w:b/>
                <w:color w:val="007E9F"/>
                <w:sz w:val="20"/>
                <w:szCs w:val="20"/>
              </w:rPr>
            </w:pPr>
          </w:p>
        </w:tc>
        <w:tc>
          <w:tcPr>
            <w:tcW w:w="5271" w:type="dxa"/>
          </w:tcPr>
          <w:p w:rsidR="00FC31DF" w:rsidRDefault="00AA4460">
            <w:pPr>
              <w:rPr>
                <w:rFonts w:ascii="Calibri" w:eastAsia="Calibri" w:hAnsi="Calibri" w:cs="Calibri"/>
                <w:b/>
                <w:sz w:val="20"/>
                <w:szCs w:val="20"/>
              </w:rPr>
            </w:pPr>
            <w:r>
              <w:rPr>
                <w:rFonts w:ascii="Calibri" w:eastAsia="Calibri" w:hAnsi="Calibri" w:cs="Calibri"/>
                <w:b/>
                <w:sz w:val="20"/>
                <w:szCs w:val="20"/>
              </w:rPr>
              <w:t>Connaissances</w:t>
            </w:r>
          </w:p>
        </w:tc>
        <w:tc>
          <w:tcPr>
            <w:tcW w:w="4111" w:type="dxa"/>
          </w:tcPr>
          <w:p w:rsidR="00FC31DF" w:rsidRDefault="00AA4460">
            <w:pPr>
              <w:rPr>
                <w:rFonts w:ascii="Calibri" w:eastAsia="Calibri" w:hAnsi="Calibri" w:cs="Calibri"/>
                <w:b/>
                <w:sz w:val="20"/>
                <w:szCs w:val="20"/>
              </w:rPr>
            </w:pPr>
            <w:r>
              <w:rPr>
                <w:rFonts w:ascii="Calibri" w:eastAsia="Calibri" w:hAnsi="Calibri" w:cs="Calibri"/>
                <w:b/>
                <w:sz w:val="20"/>
                <w:szCs w:val="20"/>
              </w:rPr>
              <w:t>Notions/</w:t>
            </w:r>
            <w:r>
              <w:rPr>
                <w:rFonts w:ascii="Calibri" w:eastAsia="Calibri" w:hAnsi="Calibri" w:cs="Calibri"/>
                <w:b/>
                <w:color w:val="FF0000"/>
                <w:sz w:val="20"/>
                <w:szCs w:val="20"/>
              </w:rPr>
              <w:t>objectifs/</w:t>
            </w:r>
            <w:r>
              <w:rPr>
                <w:rFonts w:ascii="Calibri" w:eastAsia="Calibri" w:hAnsi="Calibri" w:cs="Calibri"/>
                <w:b/>
                <w:color w:val="366091"/>
                <w:sz w:val="20"/>
                <w:szCs w:val="20"/>
              </w:rPr>
              <w:t>limites</w:t>
            </w:r>
          </w:p>
        </w:tc>
        <w:tc>
          <w:tcPr>
            <w:tcW w:w="3345" w:type="dxa"/>
          </w:tcPr>
          <w:p w:rsidR="00FC31DF" w:rsidRDefault="00AA4460">
            <w:pPr>
              <w:rPr>
                <w:rFonts w:ascii="Calibri" w:eastAsia="Calibri" w:hAnsi="Calibri" w:cs="Calibri"/>
                <w:b/>
                <w:sz w:val="20"/>
                <w:szCs w:val="20"/>
              </w:rPr>
            </w:pPr>
            <w:r>
              <w:rPr>
                <w:rFonts w:ascii="Calibri" w:eastAsia="Calibri" w:hAnsi="Calibri" w:cs="Calibri"/>
                <w:b/>
                <w:sz w:val="20"/>
                <w:szCs w:val="20"/>
              </w:rPr>
              <w:t>Capacités/Activités</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Temps</w:t>
            </w: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L’immunité innée </w:t>
            </w:r>
          </w:p>
        </w:tc>
        <w:tc>
          <w:tcPr>
            <w:tcW w:w="5271"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L'immunité innée existe chez tous les animaux. Elle opère sans apprentissage préalable. Elle est génétiquement déterminée et présente dès la naissance.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Elle repose sur des mécanismes de reconnaissance et d'action très conservés au cours de l'évolution : une dizaine de types cellulaires différents (récepteurs de surface pour la reconnaissance de motifs étrangers partagés par de nombreux intrus) et une centaine de molécules circulantes (interleukines pour la communication entre cellules).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Très rapidement mise en </w:t>
            </w:r>
            <w:proofErr w:type="spellStart"/>
            <w:r>
              <w:rPr>
                <w:rFonts w:ascii="Calibri" w:eastAsia="Calibri" w:hAnsi="Calibri" w:cs="Calibri"/>
                <w:color w:val="000000"/>
                <w:sz w:val="20"/>
                <w:szCs w:val="20"/>
              </w:rPr>
              <w:t>oeuvre</w:t>
            </w:r>
            <w:proofErr w:type="spellEnd"/>
            <w:r>
              <w:rPr>
                <w:rFonts w:ascii="Calibri" w:eastAsia="Calibri" w:hAnsi="Calibri" w:cs="Calibri"/>
                <w:color w:val="000000"/>
                <w:sz w:val="20"/>
                <w:szCs w:val="20"/>
              </w:rPr>
              <w:t xml:space="preserve"> et présente en tout point de l’organisme, l'immunité innée est la première à intervenir lors de situations variées (atteintes des tissus, infection, cancérisation). C'est une première ligne de défense qui agit d'abord seule puis se prolonge pendant toute la réaction immunitaire. </w:t>
            </w:r>
          </w:p>
          <w:p w:rsidR="00FC31DF" w:rsidRDefault="00AA4460">
            <w:pPr>
              <w:rPr>
                <w:rFonts w:ascii="Calibri" w:eastAsia="Calibri" w:hAnsi="Calibri" w:cs="Calibri"/>
                <w:b/>
                <w:sz w:val="20"/>
                <w:szCs w:val="20"/>
              </w:rPr>
            </w:pPr>
            <w:r>
              <w:rPr>
                <w:rFonts w:ascii="Calibri" w:eastAsia="Calibri" w:hAnsi="Calibri" w:cs="Calibri"/>
                <w:sz w:val="20"/>
                <w:szCs w:val="20"/>
              </w:rPr>
              <w:t>La réaction inflammatoire est essentielle. Elle traduit l’accumulation de molécules et de cellules immunitaires au lieu d’infection ou de lésion. Aigüe, elle présente des symptômes stéréotypés (rougeur, chaleur, gonflement, douleur). Elle prépare le déclenchement de l'immunité adaptative.</w:t>
            </w:r>
          </w:p>
        </w:tc>
        <w:tc>
          <w:tcPr>
            <w:tcW w:w="4111" w:type="dxa"/>
          </w:tcPr>
          <w:p w:rsidR="00FC31DF" w:rsidRDefault="00AA4460">
            <w:pPr>
              <w:rPr>
                <w:rFonts w:ascii="Calibri" w:eastAsia="Calibri" w:hAnsi="Calibri" w:cs="Calibri"/>
                <w:i/>
                <w:sz w:val="20"/>
                <w:szCs w:val="20"/>
              </w:rPr>
            </w:pPr>
            <w:r>
              <w:rPr>
                <w:rFonts w:ascii="Calibri" w:eastAsia="Calibri" w:hAnsi="Calibri" w:cs="Calibri"/>
                <w:i/>
                <w:sz w:val="20"/>
                <w:szCs w:val="20"/>
              </w:rPr>
              <w:t xml:space="preserve">Organes lymphoïdes, macrophages, phagocytose, médiateurs chimiques de l'inflammation, interleukines, récepteurs de surface, réaction inflammatoire, médicaments anti-inflammatoires. </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A partir d’un exemple, les élèves distinguent le déclenchement d'une réaction immunitaire et l'importance de la réaction inflammatoire.</w:t>
            </w:r>
          </w:p>
          <w:p w:rsidR="00FC31DF" w:rsidRDefault="00FC31DF">
            <w:pPr>
              <w:rPr>
                <w:rFonts w:ascii="Calibri" w:eastAsia="Calibri" w:hAnsi="Calibri" w:cs="Calibri"/>
                <w:i/>
                <w:sz w:val="20"/>
                <w:szCs w:val="20"/>
              </w:rPr>
            </w:pPr>
          </w:p>
          <w:p w:rsidR="00FC31DF" w:rsidRDefault="00AA4460">
            <w:pPr>
              <w:rPr>
                <w:rFonts w:ascii="Calibri" w:eastAsia="Calibri" w:hAnsi="Calibri" w:cs="Calibri"/>
                <w:i/>
                <w:color w:val="366091"/>
                <w:sz w:val="20"/>
                <w:szCs w:val="20"/>
              </w:rPr>
            </w:pPr>
            <w:r>
              <w:rPr>
                <w:rFonts w:ascii="Calibri" w:eastAsia="Calibri" w:hAnsi="Calibri" w:cs="Calibri"/>
                <w:i/>
                <w:color w:val="366091"/>
                <w:sz w:val="20"/>
                <w:szCs w:val="20"/>
              </w:rPr>
              <w:t>La description des récepteurs de l'immunité innée (PRR), des signaux de dangers et la connaissance des signatures des pathogènes (PAMP) sont hors programme. La mise en perspective évolutive du système immunitaire est signalée ; elle lie à cette thématique de sciences fondamentales une réflexion sur la santé, mais elle ne fait pas l'objet d'une argumentation particulière.</w:t>
            </w:r>
          </w:p>
        </w:tc>
        <w:tc>
          <w:tcPr>
            <w:tcW w:w="3345"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sur les cellules et les molécules impliquées dans la réaction inflammatoire aiguë.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Observer et comparer une coupe histologique ou des documents en microscopie avant et lors d'une réaction inflammatoire aiguë.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Observer la phagocytose par des cellules immunitaires (macrophages).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y compris expérimentales, sur les effets de médicaments antalgiques et anti- inflammatoires. </w:t>
            </w:r>
          </w:p>
          <w:p w:rsidR="00FC31DF" w:rsidRDefault="00AA4460">
            <w:pPr>
              <w:rPr>
                <w:rFonts w:ascii="Calibri" w:eastAsia="Calibri" w:hAnsi="Calibri" w:cs="Calibri"/>
                <w:sz w:val="20"/>
                <w:szCs w:val="20"/>
              </w:rPr>
            </w:pPr>
            <w:r>
              <w:rPr>
                <w:rFonts w:ascii="Calibri" w:eastAsia="Calibri" w:hAnsi="Calibri" w:cs="Calibri"/>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t xml:space="preserve">2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sz w:val="20"/>
                <w:szCs w:val="20"/>
              </w:rPr>
            </w:pPr>
            <w:r>
              <w:rPr>
                <w:rFonts w:ascii="Calibri" w:eastAsia="Calibri" w:hAnsi="Calibri" w:cs="Calibri"/>
                <w:b/>
                <w:color w:val="007E9F"/>
                <w:sz w:val="20"/>
                <w:szCs w:val="20"/>
              </w:rPr>
              <w:t xml:space="preserve">L'immunité adaptative </w:t>
            </w:r>
          </w:p>
        </w:tc>
        <w:tc>
          <w:tcPr>
            <w:tcW w:w="5271"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L'immunité adaptative complète l’immunité innée chez les vertébrés. Elle assure une action spécifique contre des motifs moléculaires portés par des agents infectieux ou des cellules anormales. Elle met en jeu des molécules et des cellules particulières, notamment les anticorps et les cellules qui les produisent. Associée à l’immunité innée, elle réussit le plus souvent à éliminer la cause du déclenchement de la réaction immunitaire.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réaction immunitaire adaptative doit prendre en compte une grande diversité d’agents pathogènes, leur variabilité et leur évolution. Cela soulève un paradoxe : pour lutter contre cette immense diversité d’agents immunogènes, elle devrait mettre en jeu beaucoup plus de gènes que n’en porte le génome humain. Des mécanismes particuliers engendrent des combinatoires immenses de gènes et de protéines composites notamment dans le cas des anticorps :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recombinaison de segments de gènes exprimant les parties constantes et variables des chaînes lourdes et légères des immunoglobulines ;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assemblage des chaînes lourdes et légères.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Ces mécanismes aléatoires engendrent une diversité telle que tous les antigènes possibles sont en principe reconnaissables.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Dans la diversité produite, une première sélection élimine ce qui est incompatible avec le soi, évitant des réactions immunitaires qui se déclencheraient contre des parties saines de l'organisme.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Les cellules restantes de l'immunité adaptative circulent dans un état dormant dans le sang et dans la lymphe. Lors d’une deuxième phase de sélection, quelques-unes sont activées après une première rencontre avec un antigène particulier. Les phénomènes de sélection, d'amplification et de différenciation clonales qui s’ensuivent expliquent le délai de la réaction adaptative (plusieurs jours chez l’être humain).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L’immunité adaptative met en place des cellules-mémoires à longue durée de vie. Ces cellules permettent une réponse secondaire à l'antigène plus rapide et quantitativement plus importante qui assure une protection de l'organisme vis-à-vis de cet antigène. C’est le fondement de la vaccination. </w:t>
            </w:r>
          </w:p>
          <w:p w:rsidR="00FC31DF" w:rsidRDefault="00AA4460">
            <w:pPr>
              <w:rPr>
                <w:rFonts w:ascii="Calibri" w:eastAsia="Calibri" w:hAnsi="Calibri" w:cs="Calibri"/>
                <w:b/>
                <w:sz w:val="20"/>
                <w:szCs w:val="20"/>
              </w:rPr>
            </w:pPr>
            <w:r>
              <w:rPr>
                <w:rFonts w:ascii="Calibri" w:eastAsia="Calibri" w:hAnsi="Calibri" w:cs="Calibri"/>
                <w:sz w:val="20"/>
                <w:szCs w:val="20"/>
              </w:rPr>
              <w:t>Le système immunitaire n’est pas un organe isolé dans l’organisme ; il est diffus et interagit avec les différentes parties du corps (cerveau, intestins, etc.).</w:t>
            </w:r>
          </w:p>
        </w:tc>
        <w:tc>
          <w:tcPr>
            <w:tcW w:w="4111" w:type="dxa"/>
          </w:tcPr>
          <w:p w:rsidR="00FC31DF" w:rsidRDefault="00AA4460">
            <w:pPr>
              <w:widowControl w:val="0"/>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lastRenderedPageBreak/>
              <w:t>Cellules présentatrices de l'antigène, lymphocytes B, plasmocytes, immunoglobulines (anticorps), lymphocytes T CD4, lymphocytes T auxiliaire, lymphocytes T CD8, lymphocytes T cytotoxiques ; sélection, amplification (expansion) et différenciation clonale.</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rPr>
                <w:rFonts w:ascii="Calibri" w:eastAsia="Calibri" w:hAnsi="Calibri" w:cs="Calibri"/>
                <w:i/>
                <w:color w:val="FF0000"/>
                <w:sz w:val="20"/>
                <w:szCs w:val="20"/>
              </w:rPr>
            </w:pPr>
            <w:r>
              <w:rPr>
                <w:rFonts w:ascii="Calibri" w:eastAsia="Calibri" w:hAnsi="Calibri" w:cs="Calibri"/>
                <w:i/>
                <w:color w:val="FF0000"/>
                <w:sz w:val="20"/>
                <w:szCs w:val="20"/>
              </w:rPr>
              <w:t>Le complexe majeur d’histocompatibilité (CMH) sera évoqué sans description détaillée. Par l’étude d’un cas d'une infection virale (par exemple la grippe), les élèves comprennent comment se mettent en place les défenses adaptatives et comment, en collaboration avec les défenses innées, elles parviennent à l'élimination du virus. Par cette étude, on signale le mode d'action du VIH.</w:t>
            </w:r>
          </w:p>
          <w:p w:rsidR="00FC31DF" w:rsidRDefault="00FC31DF">
            <w:pPr>
              <w:rPr>
                <w:rFonts w:ascii="Calibri" w:eastAsia="Calibri" w:hAnsi="Calibri" w:cs="Calibri"/>
                <w:i/>
                <w:sz w:val="20"/>
                <w:szCs w:val="20"/>
              </w:rPr>
            </w:pPr>
          </w:p>
          <w:p w:rsidR="00FC31DF" w:rsidRDefault="00AA4460">
            <w:pPr>
              <w:rPr>
                <w:rFonts w:ascii="Calibri" w:eastAsia="Calibri" w:hAnsi="Calibri" w:cs="Calibri"/>
                <w:b/>
                <w:color w:val="366091"/>
                <w:sz w:val="20"/>
                <w:szCs w:val="20"/>
              </w:rPr>
            </w:pPr>
            <w:r>
              <w:rPr>
                <w:rFonts w:ascii="Calibri" w:eastAsia="Calibri" w:hAnsi="Calibri" w:cs="Calibri"/>
                <w:i/>
                <w:color w:val="366091"/>
                <w:sz w:val="20"/>
                <w:szCs w:val="20"/>
              </w:rPr>
              <w:t xml:space="preserve">Le détail moléculaire de la présentation de l'antigène aux lymphocytes T et celui des </w:t>
            </w:r>
            <w:r>
              <w:rPr>
                <w:rFonts w:ascii="Calibri" w:eastAsia="Calibri" w:hAnsi="Calibri" w:cs="Calibri"/>
                <w:i/>
                <w:color w:val="366091"/>
                <w:sz w:val="20"/>
                <w:szCs w:val="20"/>
              </w:rPr>
              <w:lastRenderedPageBreak/>
              <w:t>mécanismes de recombinaison ne sont pas attendus. Les différentes classes d’immunoglobulines ne sont pas au programme.</w:t>
            </w:r>
          </w:p>
        </w:tc>
        <w:tc>
          <w:tcPr>
            <w:tcW w:w="3345"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lastRenderedPageBreak/>
              <w:t xml:space="preserve">- </w:t>
            </w:r>
            <w:r>
              <w:rPr>
                <w:rFonts w:ascii="Calibri" w:eastAsia="Calibri" w:hAnsi="Calibri" w:cs="Calibri"/>
                <w:color w:val="000000"/>
                <w:sz w:val="20"/>
                <w:szCs w:val="20"/>
              </w:rPr>
              <w:t xml:space="preserve">Recenser, extraire et exploiter des informations, y compris expérimentales, sur les cellules et les molécules intervenant dans l'immunité́ adaptative.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Estimer le nombre et la diversité des cellules et des molécules nécessaires à l’immunité adaptative. Insister sur la notion de combinatoire.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et réaliser une expérience permettant de caractériser la spécificité́ des molécules intervenant dans l'immunité́ adaptative </w:t>
            </w:r>
          </w:p>
          <w:p w:rsidR="00FC31DF" w:rsidRDefault="00FC31DF">
            <w:pPr>
              <w:widowControl w:val="0"/>
              <w:pBdr>
                <w:top w:val="nil"/>
                <w:left w:val="nil"/>
                <w:bottom w:val="nil"/>
                <w:right w:val="nil"/>
                <w:between w:val="nil"/>
              </w:pBdr>
              <w:rPr>
                <w:rFonts w:ascii="Calibri" w:eastAsia="Calibri" w:hAnsi="Calibri" w:cs="Calibri"/>
                <w:color w:val="000000"/>
                <w:sz w:val="20"/>
                <w:szCs w:val="20"/>
              </w:rPr>
            </w:pP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Concevoir et réaliser des expériences permettant de mettre en évidence les immunoglobulines lors de la réaction </w:t>
            </w:r>
            <w:r>
              <w:rPr>
                <w:rFonts w:ascii="Calibri" w:eastAsia="Calibri" w:hAnsi="Calibri" w:cs="Calibri"/>
                <w:color w:val="000000"/>
                <w:sz w:val="20"/>
                <w:szCs w:val="20"/>
              </w:rPr>
              <w:lastRenderedPageBreak/>
              <w:t xml:space="preserve">immunitaire. </w:t>
            </w:r>
          </w:p>
          <w:p w:rsidR="00FC31DF" w:rsidRDefault="00AA4460">
            <w:pPr>
              <w:rPr>
                <w:rFonts w:ascii="Calibri" w:eastAsia="Calibri" w:hAnsi="Calibri" w:cs="Calibri"/>
                <w:sz w:val="20"/>
                <w:szCs w:val="20"/>
              </w:rPr>
            </w:pPr>
            <w:r>
              <w:rPr>
                <w:rFonts w:ascii="Calibri" w:eastAsia="Calibri" w:hAnsi="Calibri" w:cs="Calibri"/>
                <w:sz w:val="20"/>
                <w:szCs w:val="20"/>
              </w:rPr>
              <w:t xml:space="preserve"> </w:t>
            </w: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3 </w:t>
            </w:r>
            <w:proofErr w:type="spellStart"/>
            <w:r>
              <w:rPr>
                <w:rFonts w:ascii="Calibri" w:eastAsia="Calibri" w:hAnsi="Calibri" w:cs="Calibri"/>
                <w:b/>
                <w:sz w:val="20"/>
                <w:szCs w:val="20"/>
              </w:rPr>
              <w:t>sem</w:t>
            </w:r>
            <w:proofErr w:type="spellEnd"/>
          </w:p>
          <w:p w:rsidR="00FC31DF" w:rsidRDefault="00FC31DF">
            <w:pPr>
              <w:rPr>
                <w:rFonts w:ascii="Calibri" w:eastAsia="Calibri" w:hAnsi="Calibri" w:cs="Calibri"/>
                <w:b/>
                <w:sz w:val="20"/>
                <w:szCs w:val="20"/>
              </w:rPr>
            </w:pPr>
          </w:p>
          <w:p w:rsidR="00FC31DF" w:rsidRDefault="00FC31DF">
            <w:pPr>
              <w:rPr>
                <w:rFonts w:ascii="Calibri" w:eastAsia="Calibri" w:hAnsi="Calibri" w:cs="Calibri"/>
                <w:b/>
                <w:sz w:val="20"/>
                <w:szCs w:val="20"/>
              </w:rPr>
            </w:pPr>
          </w:p>
        </w:tc>
      </w:tr>
      <w:tr w:rsidR="00FC31DF">
        <w:tc>
          <w:tcPr>
            <w:tcW w:w="2350" w:type="dxa"/>
          </w:tcPr>
          <w:p w:rsidR="00FC31DF" w:rsidRDefault="00AA4460">
            <w:pPr>
              <w:rPr>
                <w:rFonts w:ascii="Calibri" w:eastAsia="Calibri" w:hAnsi="Calibri" w:cs="Calibri"/>
                <w:b/>
                <w:color w:val="007E9F"/>
                <w:sz w:val="20"/>
                <w:szCs w:val="20"/>
              </w:rPr>
            </w:pPr>
            <w:r>
              <w:rPr>
                <w:rFonts w:ascii="Calibri" w:eastAsia="Calibri" w:hAnsi="Calibri" w:cs="Calibri"/>
                <w:b/>
                <w:color w:val="007E9F"/>
                <w:sz w:val="20"/>
                <w:szCs w:val="20"/>
              </w:rPr>
              <w:t>L’utilisation de l’immunité adaptative en santé humaine</w:t>
            </w:r>
          </w:p>
        </w:tc>
        <w:tc>
          <w:tcPr>
            <w:tcW w:w="5271" w:type="dxa"/>
          </w:tcPr>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La vaccination préventive induit une réaction immunitaire contre certains agents infectieux. L'injection de produits immunogènes mais non pathogènes (particules virales, virus atténués, etc.) provoque la formation d'un réservoir de cellules mémoires dirigées contre l'agent d'une maladie. L'adjuvant du vaccin aide à déclencher la réaction innée indispensable à l'installation de la réaction adaptative. Cette vaccination préventive améliore les capacités de défense d'un individu dont le phénotype immunitaire est modelé au gré des expositions aux antigènes. Elle peut être appliquée à tout âge. Dans une population, cette vaccination n’offre une protection optimale qu’au-delà d’un certain taux de couverture vaccinale, qui bloque la circulation de l’agent infectieux au sein de cette population. Cela résulte du fait que l’on peut porter et transmettre l’agent infectieux sans être soi-même malade (porteur sain). </w:t>
            </w:r>
          </w:p>
          <w:p w:rsidR="00FC31DF" w:rsidRDefault="00AA4460">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 procédés d’immunothérapie (vaccins thérapeutiques et anticorps monoclonaux) ont été développés pour lutter contre certains types de cancer, et de nombreux sont en cours de développement. C’est un champ de recherche aux implications sociétales importantes.</w:t>
            </w:r>
          </w:p>
        </w:tc>
        <w:tc>
          <w:tcPr>
            <w:tcW w:w="4111" w:type="dxa"/>
          </w:tcPr>
          <w:p w:rsidR="00FC31DF" w:rsidRDefault="00AA4460">
            <w:pPr>
              <w:widowControl w:val="0"/>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FF0000"/>
                <w:sz w:val="20"/>
                <w:szCs w:val="20"/>
              </w:rPr>
              <w:t>Les élèves découvrent comment l’humanité utilise ses connaissances de l’immunité dans le domaine de la santé. La différence entre la vaccination, préventive et l’immunothérapie (dont les vaccins thérapeutiques) est soulignée. Les élèves acquièrent les connaissances fondamentales sur la base biologique de la stratégie vaccinale préventive qui permet la protection de l'individu vacciné et de la population. On indique que l'adjuvant du vaccin prépare l'organisme au déclenchement de la réaction adaptative liée au vaccin, un peu comme la réaction inflammatoire prépare la réaction adaptative naturelle.</w:t>
            </w:r>
          </w:p>
          <w:p w:rsidR="00FC31DF" w:rsidRDefault="00FC31DF">
            <w:pPr>
              <w:widowControl w:val="0"/>
              <w:pBdr>
                <w:top w:val="nil"/>
                <w:left w:val="nil"/>
                <w:bottom w:val="nil"/>
                <w:right w:val="nil"/>
                <w:between w:val="nil"/>
              </w:pBdr>
              <w:rPr>
                <w:rFonts w:ascii="Calibri" w:eastAsia="Calibri" w:hAnsi="Calibri" w:cs="Calibri"/>
                <w:i/>
                <w:color w:val="FF0000"/>
                <w:sz w:val="20"/>
                <w:szCs w:val="20"/>
              </w:rPr>
            </w:pPr>
          </w:p>
          <w:p w:rsidR="00FC31DF" w:rsidRDefault="00AA4460">
            <w:pPr>
              <w:widowControl w:val="0"/>
              <w:pBdr>
                <w:top w:val="nil"/>
                <w:left w:val="nil"/>
                <w:bottom w:val="nil"/>
                <w:right w:val="nil"/>
                <w:between w:val="nil"/>
              </w:pBdr>
              <w:rPr>
                <w:rFonts w:ascii="Calibri" w:eastAsia="Calibri" w:hAnsi="Calibri" w:cs="Calibri"/>
                <w:i/>
                <w:color w:val="FF0000"/>
                <w:sz w:val="20"/>
                <w:szCs w:val="20"/>
              </w:rPr>
            </w:pPr>
            <w:r>
              <w:rPr>
                <w:rFonts w:ascii="Calibri" w:eastAsia="Calibri" w:hAnsi="Calibri" w:cs="Calibri"/>
                <w:i/>
                <w:color w:val="000000"/>
                <w:sz w:val="20"/>
                <w:szCs w:val="20"/>
              </w:rPr>
              <w:t>La description exhaustive des types de vaccins, de leur composition et des pratiques vaccinales n’est pas attendue.</w:t>
            </w:r>
          </w:p>
        </w:tc>
        <w:tc>
          <w:tcPr>
            <w:tcW w:w="3345" w:type="dxa"/>
          </w:tcPr>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historiques sur le principe de la vaccination et ses succès contre de grandes pandémies (variole, poliomyélite, etc.).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sur la composition d’un vaccin et sur son mode d'emploi (rappel de vaccination).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Modéliser et calculer le taux de couverture vaccinale efficace pour un vaccin (par exemple : rougeole).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Montrer que certains vaccins permettent de lutter indirectement contre des cancers (hépatite B, HPV).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Prendre conscience que la </w:t>
            </w:r>
            <w:r>
              <w:rPr>
                <w:rFonts w:ascii="Calibri" w:eastAsia="Calibri" w:hAnsi="Calibri" w:cs="Calibri"/>
                <w:color w:val="000000"/>
                <w:sz w:val="20"/>
                <w:szCs w:val="20"/>
              </w:rPr>
              <w:lastRenderedPageBreak/>
              <w:t xml:space="preserve">vaccination est une démarche dans laquelle le bénéfice collectif est très largement supérieur au risque vaccinal individuel.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sur la manière dont sont obtenus des anticorps monoclonaux. </w:t>
            </w:r>
          </w:p>
          <w:p w:rsidR="00FC31DF" w:rsidRDefault="00FC31DF">
            <w:pPr>
              <w:widowControl w:val="0"/>
              <w:rPr>
                <w:rFonts w:ascii="Calibri" w:eastAsia="Calibri" w:hAnsi="Calibri" w:cs="Calibri"/>
                <w:color w:val="000000"/>
                <w:sz w:val="20"/>
                <w:szCs w:val="20"/>
              </w:rPr>
            </w:pPr>
          </w:p>
          <w:p w:rsidR="00FC31DF" w:rsidRDefault="00AA4460">
            <w:pPr>
              <w:widowControl w:val="0"/>
              <w:rPr>
                <w:rFonts w:ascii="Calibri" w:eastAsia="Calibri" w:hAnsi="Calibri" w:cs="Calibri"/>
                <w:color w:val="000000"/>
                <w:sz w:val="20"/>
                <w:szCs w:val="20"/>
              </w:rPr>
            </w:pPr>
            <w:r>
              <w:rPr>
                <w:rFonts w:ascii="Calibri" w:eastAsia="Calibri" w:hAnsi="Calibri" w:cs="Calibri"/>
                <w:color w:val="0061AC"/>
                <w:sz w:val="20"/>
                <w:szCs w:val="20"/>
              </w:rPr>
              <w:t xml:space="preserve">- </w:t>
            </w:r>
            <w:r>
              <w:rPr>
                <w:rFonts w:ascii="Calibri" w:eastAsia="Calibri" w:hAnsi="Calibri" w:cs="Calibri"/>
                <w:color w:val="000000"/>
                <w:sz w:val="20"/>
                <w:szCs w:val="20"/>
              </w:rPr>
              <w:t xml:space="preserve">Recenser, extraire et exploiter des informations sur l’utilisation d’anticorps monoclonaux dans des cancers (par exemple : sein et colon), y compris dans ses composantes économiques. </w:t>
            </w:r>
          </w:p>
          <w:p w:rsidR="00FC31DF" w:rsidRDefault="00FC31DF">
            <w:pPr>
              <w:widowControl w:val="0"/>
              <w:pBdr>
                <w:top w:val="nil"/>
                <w:left w:val="nil"/>
                <w:bottom w:val="nil"/>
                <w:right w:val="nil"/>
                <w:between w:val="nil"/>
              </w:pBdr>
              <w:rPr>
                <w:rFonts w:ascii="Calibri" w:eastAsia="Calibri" w:hAnsi="Calibri" w:cs="Calibri"/>
                <w:color w:val="0061AC"/>
                <w:sz w:val="20"/>
                <w:szCs w:val="20"/>
              </w:rPr>
            </w:pPr>
          </w:p>
        </w:tc>
        <w:tc>
          <w:tcPr>
            <w:tcW w:w="766" w:type="dxa"/>
          </w:tcPr>
          <w:p w:rsidR="00FC31DF" w:rsidRDefault="00AA4460">
            <w:pPr>
              <w:rPr>
                <w:rFonts w:ascii="Calibri" w:eastAsia="Calibri" w:hAnsi="Calibri" w:cs="Calibri"/>
                <w:b/>
                <w:sz w:val="20"/>
                <w:szCs w:val="20"/>
              </w:rPr>
            </w:pPr>
            <w:r>
              <w:rPr>
                <w:rFonts w:ascii="Calibri" w:eastAsia="Calibri" w:hAnsi="Calibri" w:cs="Calibri"/>
                <w:b/>
                <w:sz w:val="20"/>
                <w:szCs w:val="20"/>
              </w:rPr>
              <w:lastRenderedPageBreak/>
              <w:t xml:space="preserve">1 </w:t>
            </w:r>
            <w:proofErr w:type="spellStart"/>
            <w:r>
              <w:rPr>
                <w:rFonts w:ascii="Calibri" w:eastAsia="Calibri" w:hAnsi="Calibri" w:cs="Calibri"/>
                <w:b/>
                <w:sz w:val="20"/>
                <w:szCs w:val="20"/>
              </w:rPr>
              <w:t>sem</w:t>
            </w:r>
            <w:proofErr w:type="spellEnd"/>
          </w:p>
        </w:tc>
      </w:tr>
    </w:tbl>
    <w:p w:rsidR="00FC31DF" w:rsidRDefault="00FC31DF">
      <w:pPr>
        <w:rPr>
          <w:rFonts w:ascii="Calibri" w:eastAsia="Calibri" w:hAnsi="Calibri" w:cs="Calibri"/>
          <w:b/>
          <w:sz w:val="28"/>
          <w:szCs w:val="28"/>
        </w:rPr>
      </w:pPr>
    </w:p>
    <w:sectPr w:rsidR="00FC31DF">
      <w:pgSz w:w="16840" w:h="11901"/>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DF"/>
    <w:rsid w:val="00992323"/>
    <w:rsid w:val="00AA4460"/>
    <w:rsid w:val="00FC3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BEB7-A566-174F-ADA7-9DB57352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FR" w:eastAsia="fr-FR"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table" w:customStyle="1" w:styleId="a1">
    <w:basedOn w:val="TableNormal"/>
    <w:pPr>
      <w:spacing w:after="0"/>
    </w:pPr>
    <w:tblPr>
      <w:tblStyleRowBandSize w:val="1"/>
      <w:tblStyleColBandSize w:val="1"/>
      <w:tblCellMar>
        <w:left w:w="108" w:type="dxa"/>
        <w:right w:w="108" w:type="dxa"/>
      </w:tblCellMar>
    </w:tblPr>
  </w:style>
  <w:style w:type="table" w:customStyle="1" w:styleId="a2">
    <w:basedOn w:val="TableNormal"/>
    <w:pPr>
      <w:spacing w:after="0"/>
    </w:pPr>
    <w:tblPr>
      <w:tblStyleRowBandSize w:val="1"/>
      <w:tblStyleColBandSize w:val="1"/>
      <w:tblCellMar>
        <w:left w:w="108" w:type="dxa"/>
        <w:right w:w="108" w:type="dxa"/>
      </w:tblCellMar>
    </w:tblPr>
  </w:style>
  <w:style w:type="table" w:customStyle="1" w:styleId="a3">
    <w:basedOn w:val="TableNormal"/>
    <w:pPr>
      <w:spacing w:after="0"/>
    </w:pPr>
    <w:tblPr>
      <w:tblStyleRowBandSize w:val="1"/>
      <w:tblStyleColBandSize w:val="1"/>
      <w:tblCellMar>
        <w:left w:w="108" w:type="dxa"/>
        <w:right w:w="108" w:type="dxa"/>
      </w:tblCellMar>
    </w:tblPr>
  </w:style>
  <w:style w:type="table" w:customStyle="1" w:styleId="a4">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2F59-B260-314C-AF27-155089C2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7170</Words>
  <Characters>39435</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46512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belen</dc:creator>
  <cp:keywords/>
  <dc:description/>
  <cp:lastModifiedBy>PATALANO Michel</cp:lastModifiedBy>
  <cp:revision>2</cp:revision>
  <dcterms:created xsi:type="dcterms:W3CDTF">2020-01-17T10:29:00Z</dcterms:created>
  <dcterms:modified xsi:type="dcterms:W3CDTF">2020-01-17T10:29:00Z</dcterms:modified>
  <cp:category/>
</cp:coreProperties>
</file>